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B3" w:rsidRDefault="00E36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Szanowni Państwo, </w:t>
      </w:r>
    </w:p>
    <w:p w:rsidR="00D731B3" w:rsidRDefault="00E36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przygotowania macie plik „pracy magisterskiej”. </w:t>
      </w:r>
    </w:p>
    <w:p w:rsidR="00D731B3" w:rsidRDefault="00E36E84">
      <w:pPr>
        <w:tabs>
          <w:tab w:val="left" w:pos="322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waszych zadań należy: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731B3" w:rsidRDefault="00E36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wstawienie strony tytułowej (wzór do pobrania ze strony internetowej uczelni)</w:t>
      </w:r>
    </w:p>
    <w:p w:rsidR="00D731B3" w:rsidRDefault="00E36E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Tytuł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Udział komórek raka krążących we krwi w rozsiewie raka jajnika </w:t>
      </w:r>
    </w:p>
    <w:p w:rsidR="00D731B3" w:rsidRDefault="00E36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ustawienie tekstu według wymogów redakcyjnych:</w:t>
      </w:r>
    </w:p>
    <w:p w:rsidR="00D731B3" w:rsidRDefault="00E36E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czcionka – Times New Roman,</w:t>
      </w:r>
    </w:p>
    <w:p w:rsidR="00D731B3" w:rsidRDefault="00E36E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rozmiar czcionki – 12,</w:t>
      </w:r>
    </w:p>
    <w:p w:rsidR="00D731B3" w:rsidRDefault="00E36E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odstęp między wierszami – 1,5,</w:t>
      </w:r>
    </w:p>
    <w:p w:rsidR="007068B9" w:rsidRDefault="00706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usunięcie wiszących liter</w:t>
      </w:r>
    </w:p>
    <w:p w:rsidR="007068B9" w:rsidRDefault="007068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wcięcie pierwszego wiersza </w:t>
      </w:r>
      <w:r w:rsidR="00036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każdego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akapitu na standardowe</w:t>
      </w:r>
    </w:p>
    <w:p w:rsidR="00036E17" w:rsidRPr="00036E17" w:rsidRDefault="00036E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E17">
        <w:rPr>
          <w:rFonts w:ascii="Times New Roman" w:hAnsi="Times New Roman" w:cs="Times New Roman"/>
          <w:color w:val="000000"/>
          <w:sz w:val="24"/>
          <w:szCs w:val="24"/>
        </w:rPr>
        <w:t>Ustaw odległość między akapitami na 12 pkt</w:t>
      </w:r>
    </w:p>
    <w:p w:rsidR="00036E17" w:rsidRPr="00036E17" w:rsidRDefault="00036E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E17">
        <w:rPr>
          <w:rFonts w:ascii="Times New Roman" w:hAnsi="Times New Roman" w:cs="Times New Roman"/>
          <w:color w:val="000000"/>
          <w:sz w:val="24"/>
          <w:szCs w:val="24"/>
        </w:rPr>
        <w:t>Wyjustuj tekst obustronnie</w:t>
      </w:r>
    </w:p>
    <w:p w:rsidR="00D731B3" w:rsidRDefault="00E36E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szerokość marginesów – 2 cm (margines lewy można zwiększyć do 3,5 cm, aby ułatwić oprawę pracy),</w:t>
      </w:r>
    </w:p>
    <w:p w:rsidR="00D731B3" w:rsidRPr="007068B9" w:rsidRDefault="00E36E84" w:rsidP="00DA1D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06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numeracja stron – zachowana kolejność, bez numeracji stron tytułowej; </w:t>
      </w:r>
    </w:p>
    <w:p w:rsidR="00D731B3" w:rsidRDefault="00E36E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układ piśmiennictwa powinien być zgodny z kolejnością cytowania; w wypadku artykułu mającego nie więcej niż trzech współautorów należy podać wszystkie nazwiska; w przypadku czterech lub większej liczby współautorów podaje się tylko pierwszych trzech, dopis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ując po nazwiskach skrót „et al.”,</w:t>
      </w:r>
    </w:p>
    <w:p w:rsidR="00D731B3" w:rsidRDefault="00E36E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tabele, wykresy i zdjęcia powinny mieć nu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merację w kolejności występowania pierwszego odwołania w tekście oraz krótki tytuł; jeżeli dane w tabeli, wykres lub zdjęcie zostało zaczerpnięte z innego źródła, należy podać ich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pochodzenie.</w:t>
      </w:r>
    </w:p>
    <w:p w:rsidR="00D731B3" w:rsidRDefault="00E36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ustawienie nagłówków:</w:t>
      </w:r>
    </w:p>
    <w:p w:rsidR="00D731B3" w:rsidRDefault="00E36E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nagłówek 1 – spisy, tytuły rozdziałów oznaczone numerami;</w:t>
      </w:r>
    </w:p>
    <w:p w:rsidR="00D731B3" w:rsidRDefault="00E36E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nagłówek 2 – podrozdziały oznaczone 1.1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31B3" w:rsidRDefault="00E36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utworzenie automatycznego spisu treści</w:t>
      </w:r>
    </w:p>
    <w:p w:rsidR="00D731B3" w:rsidRDefault="00E36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podpisanie rycin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proszę pamiętać, że podpisujemy POD ryciną; czcionka Times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 Roman 10; (treść podpisu: To jest rycina [nr])</w:t>
      </w:r>
    </w:p>
    <w:p w:rsidR="00D731B3" w:rsidRDefault="00E36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edycja rycin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wyrównanie do środka</w:t>
      </w:r>
    </w:p>
    <w:p w:rsidR="00D731B3" w:rsidRDefault="00E36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utworzenie automatycznego spisu rycin</w:t>
      </w:r>
    </w:p>
    <w:p w:rsidR="00D731B3" w:rsidRDefault="00E36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podpisanie tabel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proszę pamiętać, że podpisujemy NAD tabelą; czcionka Times New Roman 10 (treść podpisu: To jest tabela [nr])</w:t>
      </w:r>
    </w:p>
    <w:p w:rsidR="00D731B3" w:rsidRDefault="00E36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edyc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 tabel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wyrównanie do środka </w:t>
      </w:r>
    </w:p>
    <w:p w:rsidR="00D731B3" w:rsidRDefault="00E36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utworzenie automatycznego spisu tabel </w:t>
      </w:r>
    </w:p>
    <w:p w:rsidR="00D731B3" w:rsidRDefault="00E36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tekście uzupełnić punktowanie i numerowanie w oznaczonych miejscach</w:t>
      </w:r>
    </w:p>
    <w:p w:rsidR="00D731B3" w:rsidRDefault="00D731B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1B3" w:rsidRPr="007068B9" w:rsidRDefault="00E36E8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 w:rsidR="007068B9" w:rsidRPr="007068B9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lastRenderedPageBreak/>
        <w:t xml:space="preserve">W tym miejscu należy </w:t>
      </w:r>
      <w:r w:rsidR="007068B9" w:rsidRPr="007068B9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wstawić stronę tytułową</w:t>
      </w:r>
      <w:r>
        <w:br w:type="page"/>
      </w:r>
      <w:r w:rsidR="007068B9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lastRenderedPageBreak/>
        <w:t>W tym miejscu należy utworzyć automatyczny spis treści opierający się o nagłówki w poniższym tekście</w:t>
      </w:r>
    </w:p>
    <w:p w:rsidR="00D731B3" w:rsidRDefault="00D731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31B3" w:rsidRDefault="00E36E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1</w:t>
      </w:r>
    </w:p>
    <w:p w:rsidR="00D731B3" w:rsidRDefault="00E36E84">
      <w:pPr>
        <w:widowControl w:val="0"/>
        <w:spacing w:line="240" w:lineRule="auto"/>
        <w:ind w:left="2124" w:right="-20" w:firstLine="7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Ś W I A D C Z E N I E</w:t>
      </w:r>
    </w:p>
    <w:p w:rsidR="00D731B3" w:rsidRDefault="00D731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1B3" w:rsidRDefault="00D731B3">
      <w:pPr>
        <w:spacing w:after="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1B3" w:rsidRDefault="00E36E84">
      <w:pPr>
        <w:widowControl w:val="0"/>
        <w:spacing w:line="240" w:lineRule="auto"/>
        <w:ind w:left="550" w:right="6961" w:hanging="54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</w:t>
      </w:r>
    </w:p>
    <w:p w:rsidR="00D731B3" w:rsidRDefault="00E36E84">
      <w:pPr>
        <w:widowControl w:val="0"/>
        <w:spacing w:line="240" w:lineRule="auto"/>
        <w:ind w:left="550" w:right="6961" w:hanging="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</w:t>
      </w:r>
    </w:p>
    <w:p w:rsidR="00D731B3" w:rsidRDefault="00D731B3">
      <w:pPr>
        <w:spacing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1B3" w:rsidRDefault="00E36E84">
      <w:pPr>
        <w:widowControl w:val="0"/>
        <w:spacing w:line="240" w:lineRule="auto"/>
        <w:ind w:left="648" w:right="7031" w:hanging="64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</w:t>
      </w:r>
    </w:p>
    <w:p w:rsidR="00D731B3" w:rsidRDefault="00E36E84">
      <w:pPr>
        <w:widowControl w:val="0"/>
        <w:spacing w:line="240" w:lineRule="auto"/>
        <w:ind w:left="648" w:right="7031" w:hanging="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 albumu</w:t>
      </w:r>
    </w:p>
    <w:p w:rsidR="00D731B3" w:rsidRDefault="00D731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1B3" w:rsidRDefault="00D731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1B3" w:rsidRDefault="00D731B3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1B3" w:rsidRDefault="00E36E84">
      <w:pPr>
        <w:widowControl w:val="0"/>
        <w:spacing w:line="240" w:lineRule="auto"/>
        <w:ind w:right="-20" w:firstLine="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praca pt.: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Udział komórek raka krążących we krwi w rozsiewie raka jajnika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731B3" w:rsidRDefault="00D731B3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1B3" w:rsidRDefault="00E36E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została przygotowana przeze mnie samodzielnie,</w:t>
      </w:r>
    </w:p>
    <w:p w:rsidR="00D731B3" w:rsidRDefault="00E36E84">
      <w:pPr>
        <w:widowControl w:val="0"/>
        <w:spacing w:line="238" w:lineRule="auto"/>
        <w:ind w:left="360" w:right="52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nie narusza praw autorskich w rozumieniu ustawy z dnia 4 lutego 1994 roku o prawie autorskim i prawach pokrewnych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Dz. U. 2021.1062) oraz dóbr osobistych chronionych prawem,</w:t>
      </w:r>
    </w:p>
    <w:p w:rsidR="00D731B3" w:rsidRDefault="00E36E84">
      <w:pPr>
        <w:widowControl w:val="0"/>
        <w:tabs>
          <w:tab w:val="left" w:pos="360"/>
        </w:tabs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nie zawiera danych i informacji, które uzyskałem w sposób niedozwolony,</w:t>
      </w:r>
    </w:p>
    <w:p w:rsidR="00D731B3" w:rsidRDefault="00E36E84">
      <w:pPr>
        <w:widowControl w:val="0"/>
        <w:spacing w:line="239" w:lineRule="auto"/>
        <w:ind w:left="360" w:right="51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nie była podstawą nadania dyplomu doktorskiego lub dyplomu uczelni wyższej lub tytułu zawodowego ani mnie ani innej osobie.</w:t>
      </w:r>
    </w:p>
    <w:p w:rsidR="00D731B3" w:rsidRDefault="00D731B3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1B3" w:rsidRDefault="00E36E84">
      <w:pPr>
        <w:widowControl w:val="0"/>
        <w:spacing w:line="240" w:lineRule="auto"/>
        <w:ind w:right="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Ponadto oświadczam, że treść pracy, zawarta na przekazywanym nośniku elektronicznym, jest identyczna z jej wersją drukowaną.</w:t>
      </w:r>
    </w:p>
    <w:p w:rsidR="00D731B3" w:rsidRDefault="00D731B3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1B3" w:rsidRDefault="00E36E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oznań</w:t>
      </w:r>
      <w:r>
        <w:rPr>
          <w:rFonts w:ascii="Times New Roman" w:eastAsia="Times New Roman" w:hAnsi="Times New Roman" w:cs="Times New Roman"/>
          <w:sz w:val="24"/>
          <w:szCs w:val="24"/>
        </w:rPr>
        <w:t>, dn. 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......................................................... </w:t>
      </w:r>
    </w:p>
    <w:p w:rsidR="00D731B3" w:rsidRDefault="00E36E8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</w:t>
      </w:r>
    </w:p>
    <w:p w:rsidR="00D731B3" w:rsidRDefault="00E36E8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D731B3" w:rsidRDefault="00E36E84">
      <w:pPr>
        <w:pStyle w:val="Nagwek1"/>
        <w:spacing w:before="0"/>
        <w:rPr>
          <w:b w:val="0"/>
        </w:rPr>
      </w:pPr>
      <w:bookmarkStart w:id="2" w:name="_heading=h.30j0zll" w:colFirst="0" w:colLast="0"/>
      <w:bookmarkEnd w:id="2"/>
      <w:r>
        <w:rPr>
          <w:b w:val="0"/>
        </w:rPr>
        <w:lastRenderedPageBreak/>
        <w:t>Spis treści</w:t>
      </w:r>
    </w:p>
    <w:p w:rsidR="00D731B3" w:rsidRDefault="00D731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1B3" w:rsidRDefault="00E36E84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W tym miejscu należy utworzyć automatyczny spis treści opierający się o nagłówki w poniższym tekście</w:t>
      </w:r>
      <w:r>
        <w:br w:type="page"/>
      </w:r>
    </w:p>
    <w:p w:rsidR="00D731B3" w:rsidRDefault="00E36E84">
      <w:bookmarkStart w:id="3" w:name="_heading=h.1fob9te" w:colFirst="0" w:colLast="0"/>
      <w:bookmarkEnd w:id="3"/>
      <w:r>
        <w:lastRenderedPageBreak/>
        <w:t>Spis skrótów, rycin i tabel</w:t>
      </w:r>
    </w:p>
    <w:p w:rsidR="00D731B3" w:rsidRDefault="00E36E84">
      <w:bookmarkStart w:id="4" w:name="_heading=h.3znysh7" w:colFirst="0" w:colLast="0"/>
      <w:bookmarkEnd w:id="4"/>
      <w:r>
        <w:t>Spis skrótów</w:t>
      </w:r>
    </w:p>
    <w:tbl>
      <w:tblPr>
        <w:tblStyle w:val="a"/>
        <w:tblW w:w="8789" w:type="dxa"/>
        <w:tblInd w:w="-6" w:type="dxa"/>
        <w:tblLayout w:type="fixed"/>
        <w:tblLook w:val="0400" w:firstRow="0" w:lastRow="0" w:firstColumn="0" w:lastColumn="0" w:noHBand="0" w:noVBand="1"/>
      </w:tblPr>
      <w:tblGrid>
        <w:gridCol w:w="1188"/>
        <w:gridCol w:w="4085"/>
        <w:gridCol w:w="3516"/>
      </w:tblGrid>
      <w:tr w:rsidR="00D731B3">
        <w:trPr>
          <w:trHeight w:val="680"/>
          <w:tblHeader/>
        </w:trPr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4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Znaczenie w języku angielskim</w:t>
            </w: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Znaczenie w języku polskim</w:t>
            </w:r>
          </w:p>
        </w:tc>
      </w:tr>
      <w:tr w:rsidR="00D731B3">
        <w:trPr>
          <w:trHeight w:val="397"/>
        </w:trPr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CA125</w:t>
            </w:r>
          </w:p>
        </w:tc>
        <w:tc>
          <w:tcPr>
            <w:tcW w:w="4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carcinoma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antygen CA125</w:t>
            </w:r>
          </w:p>
        </w:tc>
      </w:tr>
      <w:tr w:rsidR="00D731B3">
        <w:trPr>
          <w:trHeight w:val="397"/>
        </w:trPr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CDH1</w:t>
            </w:r>
          </w:p>
        </w:tc>
        <w:tc>
          <w:tcPr>
            <w:tcW w:w="4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cadherin</w:t>
            </w:r>
            <w:proofErr w:type="spellEnd"/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kadheryna</w:t>
            </w:r>
            <w:proofErr w:type="spellEnd"/>
          </w:p>
        </w:tc>
      </w:tr>
      <w:tr w:rsidR="00D731B3">
        <w:trPr>
          <w:trHeight w:val="397"/>
        </w:trPr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CK-19</w:t>
            </w:r>
          </w:p>
        </w:tc>
        <w:tc>
          <w:tcPr>
            <w:tcW w:w="40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cytokeratin-19</w:t>
            </w: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cytokeratyna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D731B3">
        <w:trPr>
          <w:trHeight w:val="397"/>
        </w:trPr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4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concentration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ratio</w:t>
            </w: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stosunek natężenia ekspresji genu badanego względem ekspresji genu referencyjnego</w:t>
            </w:r>
          </w:p>
        </w:tc>
      </w:tr>
      <w:tr w:rsidR="00D731B3">
        <w:trPr>
          <w:trHeight w:val="397"/>
        </w:trPr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CTC</w:t>
            </w:r>
          </w:p>
        </w:tc>
        <w:tc>
          <w:tcPr>
            <w:tcW w:w="4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circulating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tumour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cells</w:t>
            </w:r>
            <w:proofErr w:type="spellEnd"/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komórki nowotworowe krążące we krwi</w:t>
            </w:r>
          </w:p>
        </w:tc>
      </w:tr>
      <w:tr w:rsidR="00D731B3">
        <w:trPr>
          <w:trHeight w:val="397"/>
        </w:trPr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DTC</w:t>
            </w:r>
          </w:p>
        </w:tc>
        <w:tc>
          <w:tcPr>
            <w:tcW w:w="4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disseminated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tumor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cells</w:t>
            </w:r>
            <w:proofErr w:type="spellEnd"/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rozsiane komórki nowotworowe</w:t>
            </w:r>
          </w:p>
        </w:tc>
      </w:tr>
      <w:tr w:rsidR="00D731B3">
        <w:trPr>
          <w:trHeight w:val="454"/>
        </w:trPr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EMT</w:t>
            </w:r>
          </w:p>
        </w:tc>
        <w:tc>
          <w:tcPr>
            <w:tcW w:w="4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epithelial-mesenchymal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</w:t>
            </w:r>
            <w:proofErr w:type="spellEnd"/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przejście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epitelialno-mezynchemalne</w:t>
            </w:r>
            <w:proofErr w:type="spellEnd"/>
          </w:p>
        </w:tc>
      </w:tr>
      <w:tr w:rsidR="00D731B3">
        <w:trPr>
          <w:trHeight w:val="397"/>
        </w:trPr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FDA</w:t>
            </w:r>
          </w:p>
        </w:tc>
        <w:tc>
          <w:tcPr>
            <w:tcW w:w="4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Food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Administration</w:t>
            </w: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Agencja Żywności i Leków</w:t>
            </w:r>
          </w:p>
        </w:tc>
      </w:tr>
      <w:tr w:rsidR="00D731B3">
        <w:trPr>
          <w:trHeight w:val="397"/>
        </w:trPr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HBOC</w:t>
            </w:r>
          </w:p>
        </w:tc>
        <w:tc>
          <w:tcPr>
            <w:tcW w:w="4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Pr="007068B9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6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hereditary breast and ovarian cancer syndrome</w:t>
            </w: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dziedzicznego raka piersi            i jajnika</w:t>
            </w:r>
          </w:p>
        </w:tc>
      </w:tr>
      <w:tr w:rsidR="00D731B3">
        <w:trPr>
          <w:trHeight w:val="397"/>
        </w:trPr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hCG</w:t>
            </w:r>
            <w:proofErr w:type="spellEnd"/>
          </w:p>
        </w:tc>
        <w:tc>
          <w:tcPr>
            <w:tcW w:w="4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chorionic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gonadotropin</w:t>
            </w: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ludzka gonadotropina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kosmówkowa</w:t>
            </w:r>
          </w:p>
        </w:tc>
      </w:tr>
      <w:tr w:rsidR="00D731B3">
        <w:trPr>
          <w:trHeight w:val="397"/>
        </w:trPr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hCG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4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Pr="007068B9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6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 chorionic gonadotropin beta subunit</w:t>
            </w: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podjednostka beta ludzkiej gonadotropiny kosmówkowej</w:t>
            </w:r>
          </w:p>
        </w:tc>
      </w:tr>
      <w:tr w:rsidR="00D731B3">
        <w:trPr>
          <w:trHeight w:val="397"/>
        </w:trPr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HE4</w:t>
            </w:r>
          </w:p>
        </w:tc>
        <w:tc>
          <w:tcPr>
            <w:tcW w:w="4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epididymis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protein 4</w:t>
            </w: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podfrakcja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czwarta ludzkiego białka komórek nabłonkowych najądrza</w:t>
            </w:r>
          </w:p>
        </w:tc>
      </w:tr>
      <w:tr w:rsidR="00D731B3">
        <w:trPr>
          <w:trHeight w:val="397"/>
        </w:trPr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HGSC</w:t>
            </w:r>
          </w:p>
        </w:tc>
        <w:tc>
          <w:tcPr>
            <w:tcW w:w="4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carcinoma</w:t>
            </w: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 surowiczy o wysokim stopniu złośliwości</w:t>
            </w:r>
          </w:p>
        </w:tc>
      </w:tr>
      <w:tr w:rsidR="00D731B3">
        <w:trPr>
          <w:trHeight w:val="397"/>
        </w:trPr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HPRT</w:t>
            </w:r>
          </w:p>
        </w:tc>
        <w:tc>
          <w:tcPr>
            <w:tcW w:w="4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hypoxanthine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phosphoribosyltransferase</w:t>
            </w:r>
            <w:proofErr w:type="spellEnd"/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fosforybozylotransferaza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hipoksantynowa</w:t>
            </w:r>
            <w:proofErr w:type="spellEnd"/>
          </w:p>
        </w:tc>
      </w:tr>
      <w:tr w:rsidR="00D731B3">
        <w:trPr>
          <w:trHeight w:val="397"/>
        </w:trPr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LGSC</w:t>
            </w:r>
          </w:p>
        </w:tc>
        <w:tc>
          <w:tcPr>
            <w:tcW w:w="4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low-grade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carcinoma</w:t>
            </w: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 surowiczy o niskim stopniu złośliwości</w:t>
            </w:r>
          </w:p>
        </w:tc>
      </w:tr>
      <w:tr w:rsidR="00D731B3">
        <w:trPr>
          <w:trHeight w:val="397"/>
        </w:trPr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LOXL2</w:t>
            </w:r>
          </w:p>
        </w:tc>
        <w:tc>
          <w:tcPr>
            <w:tcW w:w="40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lysyl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oxidase-like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homolog 2 oksydazy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lizylowej</w:t>
            </w:r>
            <w:proofErr w:type="spellEnd"/>
          </w:p>
        </w:tc>
      </w:tr>
      <w:tr w:rsidR="00D731B3">
        <w:trPr>
          <w:trHeight w:val="397"/>
        </w:trPr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4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mesenchymal-amoeboid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</w:t>
            </w:r>
            <w:proofErr w:type="spellEnd"/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przejście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mezynchemalno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-ameboidalne</w:t>
            </w:r>
          </w:p>
        </w:tc>
      </w:tr>
      <w:tr w:rsidR="00D731B3">
        <w:trPr>
          <w:trHeight w:val="397"/>
        </w:trPr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MMP2</w:t>
            </w:r>
          </w:p>
        </w:tc>
        <w:tc>
          <w:tcPr>
            <w:tcW w:w="4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matrix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metallopeptidase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metaloproteinaza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macierzy zewnątrzkomórkowej typu 2</w:t>
            </w:r>
          </w:p>
        </w:tc>
      </w:tr>
      <w:tr w:rsidR="00D731B3">
        <w:trPr>
          <w:trHeight w:val="397"/>
        </w:trPr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MMP9</w:t>
            </w:r>
          </w:p>
        </w:tc>
        <w:tc>
          <w:tcPr>
            <w:tcW w:w="4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matrix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metallopeptidase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metaloproteinaza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D731B3">
        <w:trPr>
          <w:trHeight w:val="397"/>
        </w:trPr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SNAI1</w:t>
            </w:r>
          </w:p>
        </w:tc>
        <w:tc>
          <w:tcPr>
            <w:tcW w:w="40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family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transcriptional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repressor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czynnik transkrypcyjny SNAI 1</w:t>
            </w:r>
          </w:p>
        </w:tc>
      </w:tr>
      <w:tr w:rsidR="00D731B3">
        <w:trPr>
          <w:trHeight w:val="397"/>
        </w:trPr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SNAI2</w:t>
            </w:r>
          </w:p>
        </w:tc>
        <w:tc>
          <w:tcPr>
            <w:tcW w:w="4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family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transcriptional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repressor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czynnik transkrypcyjny SNAI 2</w:t>
            </w:r>
          </w:p>
        </w:tc>
      </w:tr>
      <w:tr w:rsidR="00D731B3">
        <w:trPr>
          <w:trHeight w:val="397"/>
        </w:trPr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VIM</w:t>
            </w:r>
          </w:p>
        </w:tc>
        <w:tc>
          <w:tcPr>
            <w:tcW w:w="40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Vimentin</w:t>
            </w:r>
            <w:proofErr w:type="spellEnd"/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731B3" w:rsidRDefault="00E3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wimentyna</w:t>
            </w:r>
            <w:proofErr w:type="spellEnd"/>
          </w:p>
        </w:tc>
      </w:tr>
      <w:tr w:rsidR="00D731B3">
        <w:trPr>
          <w:trHeight w:val="397"/>
        </w:trPr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731B3" w:rsidRDefault="00D731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731B3" w:rsidRDefault="00D731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731B3" w:rsidRDefault="00D731B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731B3" w:rsidRDefault="00D731B3">
      <w:pPr>
        <w:rPr>
          <w:rFonts w:ascii="Times New Roman" w:eastAsia="Times New Roman" w:hAnsi="Times New Roman" w:cs="Times New Roman"/>
        </w:rPr>
      </w:pPr>
    </w:p>
    <w:p w:rsidR="00D731B3" w:rsidRDefault="00E36E84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br w:type="page"/>
      </w:r>
    </w:p>
    <w:p w:rsidR="00D731B3" w:rsidRDefault="00E36E84">
      <w:bookmarkStart w:id="5" w:name="_heading=h.2et92p0" w:colFirst="0" w:colLast="0"/>
      <w:bookmarkEnd w:id="5"/>
      <w:r>
        <w:lastRenderedPageBreak/>
        <w:t>Spis rycin</w:t>
      </w:r>
    </w:p>
    <w:p w:rsidR="00D731B3" w:rsidRDefault="00E36E84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W tym miejscu należy utworzyć spis rycin</w:t>
      </w:r>
    </w:p>
    <w:p w:rsidR="00D731B3" w:rsidRDefault="00E36E8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D731B3" w:rsidRDefault="00E36E84">
      <w:bookmarkStart w:id="6" w:name="_heading=h.tyjcwt" w:colFirst="0" w:colLast="0"/>
      <w:bookmarkEnd w:id="6"/>
      <w:r>
        <w:lastRenderedPageBreak/>
        <w:t>Spis tabel</w:t>
      </w:r>
    </w:p>
    <w:p w:rsidR="00D731B3" w:rsidRDefault="00E36E84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W tym miejscu należy utworzyć spis tabel</w:t>
      </w:r>
    </w:p>
    <w:p w:rsidR="00D731B3" w:rsidRDefault="00E36E84">
      <w:pPr>
        <w:rPr>
          <w:rFonts w:ascii="Times New Roman" w:eastAsia="Times New Roman" w:hAnsi="Times New Roman" w:cs="Times New Roman"/>
        </w:rPr>
      </w:pPr>
      <w:r>
        <w:br w:type="page"/>
      </w:r>
    </w:p>
    <w:p w:rsidR="00D731B3" w:rsidRDefault="00E36E84">
      <w:pPr>
        <w:rPr>
          <w:rFonts w:ascii="Arial" w:eastAsia="Arial" w:hAnsi="Arial" w:cs="Arial"/>
        </w:rPr>
      </w:pPr>
      <w:bookmarkStart w:id="7" w:name="_heading=h.3dy6vkm" w:colFirst="0" w:colLast="0"/>
      <w:bookmarkEnd w:id="7"/>
      <w:r>
        <w:rPr>
          <w:rFonts w:ascii="Arial" w:eastAsia="Arial" w:hAnsi="Arial" w:cs="Arial"/>
        </w:rPr>
        <w:lastRenderedPageBreak/>
        <w:t>1. Wprowadzenie</w:t>
      </w:r>
    </w:p>
    <w:p w:rsidR="00D731B3" w:rsidRDefault="00E36E84">
      <w:pPr>
        <w:rPr>
          <w:rFonts w:ascii="Arial" w:eastAsia="Arial" w:hAnsi="Arial" w:cs="Arial"/>
        </w:rPr>
      </w:pPr>
      <w:bookmarkStart w:id="8" w:name="_heading=h.1t3h5sf" w:colFirst="0" w:colLast="0"/>
      <w:bookmarkEnd w:id="8"/>
      <w:r>
        <w:rPr>
          <w:rFonts w:ascii="Arial" w:eastAsia="Arial" w:hAnsi="Arial" w:cs="Arial"/>
        </w:rPr>
        <w:t>1.1. Komórki nowotworowe krążące we krwi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Komórki nowotworowe krążące we krwi (ang.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circulating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tumor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cells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CTC) po raz pierwszy zostały zaobserwowane i opisane przez  Thomasa </w:t>
      </w:r>
      <w:proofErr w:type="spellStart"/>
      <w:r>
        <w:rPr>
          <w:rFonts w:ascii="Arial" w:eastAsia="Arial" w:hAnsi="Arial" w:cs="Arial"/>
          <w:sz w:val="24"/>
          <w:szCs w:val="24"/>
        </w:rPr>
        <w:t>Ashwortha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 1869 roku podczas badań mikroskopowych. Przebadanie próbki krwi pacjenta z obecnym przerzutem nowotworowym pozwoliło </w:t>
      </w:r>
      <w:proofErr w:type="spellStart"/>
      <w:r>
        <w:rPr>
          <w:rFonts w:ascii="Arial" w:eastAsia="Arial" w:hAnsi="Arial" w:cs="Arial"/>
          <w:sz w:val="24"/>
          <w:szCs w:val="24"/>
        </w:rPr>
        <w:t>Ashworthowi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na stwierdzenie, że obecne w krwi komórki pod</w:t>
      </w:r>
      <w:r>
        <w:rPr>
          <w:rFonts w:ascii="Arial" w:eastAsia="Arial" w:hAnsi="Arial" w:cs="Arial"/>
          <w:sz w:val="24"/>
          <w:szCs w:val="24"/>
        </w:rPr>
        <w:t xml:space="preserve">obne do tych w masie guza, musiały przedostać się drogą układu krwionośnego do oddalonej żyły, z której została pobrana próba (1,2).   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Rozwój technologiczny przyczynił się do przeprowadzenia badań, które potwierdzały hipotezę </w:t>
      </w:r>
      <w:proofErr w:type="spellStart"/>
      <w:r>
        <w:rPr>
          <w:rFonts w:ascii="Arial" w:eastAsia="Arial" w:hAnsi="Arial" w:cs="Arial"/>
          <w:sz w:val="24"/>
          <w:szCs w:val="24"/>
        </w:rPr>
        <w:t>Ashwortha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 pozwoliły na bard</w:t>
      </w:r>
      <w:r>
        <w:rPr>
          <w:rFonts w:ascii="Arial" w:eastAsia="Arial" w:hAnsi="Arial" w:cs="Arial"/>
          <w:sz w:val="24"/>
          <w:szCs w:val="24"/>
        </w:rPr>
        <w:t xml:space="preserve">ziej dokładne zdefiniowanie charakteru komórek nowotworowych krążących we krwi. 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Współcześnie CTC są określone jako komórki, które odrywają się od masy litej guza już we wczesnych stadiach nowotworu i przedostają się do krwioobiegu, a następnie do odległyc</w:t>
      </w:r>
      <w:r>
        <w:rPr>
          <w:rFonts w:ascii="Arial" w:eastAsia="Arial" w:hAnsi="Arial" w:cs="Arial"/>
          <w:sz w:val="24"/>
          <w:szCs w:val="24"/>
        </w:rPr>
        <w:t xml:space="preserve">h narządów. CTC krążące we krwi cechuje heterogeniczność. Szczególną uwagę poświęca się tzw. komórkom </w:t>
      </w:r>
      <w:proofErr w:type="spellStart"/>
      <w:r>
        <w:rPr>
          <w:rFonts w:ascii="Arial" w:eastAsia="Arial" w:hAnsi="Arial" w:cs="Arial"/>
          <w:sz w:val="24"/>
          <w:szCs w:val="24"/>
        </w:rPr>
        <w:t>prekursorowym</w:t>
      </w:r>
      <w:proofErr w:type="spellEnd"/>
      <w:r>
        <w:rPr>
          <w:rFonts w:ascii="Arial" w:eastAsia="Arial" w:hAnsi="Arial" w:cs="Arial"/>
          <w:sz w:val="24"/>
          <w:szCs w:val="24"/>
        </w:rPr>
        <w:t>, które charakteryzują się zdolnością do metastazy, a co za tym idzie, przyczyniają się do progresji choroby nowotworowej. Należy jednak zauw</w:t>
      </w:r>
      <w:r>
        <w:rPr>
          <w:rFonts w:ascii="Arial" w:eastAsia="Arial" w:hAnsi="Arial" w:cs="Arial"/>
          <w:sz w:val="24"/>
          <w:szCs w:val="24"/>
        </w:rPr>
        <w:t xml:space="preserve">ażyć, że nawet guzy bez klinicznie zaznaczonej metastazy również mają zdolność uwalniania do krwiobiegu komórek nowotworowych (2,3). 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Zdolność CTC do przetrwania w specyficznych warunkach układu krwionośnego wynika w dużej mierze z faktu, że komórki te nie</w:t>
      </w:r>
      <w:r>
        <w:rPr>
          <w:rFonts w:ascii="Arial" w:eastAsia="Arial" w:hAnsi="Arial" w:cs="Arial"/>
          <w:sz w:val="24"/>
          <w:szCs w:val="24"/>
        </w:rPr>
        <w:t xml:space="preserve"> muszą oddziaływać z innymi komórkami czy z macierzą zewnątrzkomórkową. Dzieje się tak, ponieważ komórki CTC posiadają zdolność ucieczki od </w:t>
      </w:r>
      <w:proofErr w:type="spellStart"/>
      <w:r>
        <w:rPr>
          <w:rFonts w:ascii="Arial" w:eastAsia="Arial" w:hAnsi="Arial" w:cs="Arial"/>
          <w:sz w:val="24"/>
          <w:szCs w:val="24"/>
        </w:rPr>
        <w:t>anoikis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jednego z typów programowanej śmierci komórki, w którym podlega ona śmierci w wyniku odłączenia się od mac</w:t>
      </w:r>
      <w:r>
        <w:rPr>
          <w:rFonts w:ascii="Arial" w:eastAsia="Arial" w:hAnsi="Arial" w:cs="Arial"/>
          <w:sz w:val="24"/>
          <w:szCs w:val="24"/>
        </w:rPr>
        <w:t xml:space="preserve">ierzy zewnątrzkomórkowej (4,5). 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badaniach na modelach zwierzęcych udowodniono, że sposób rozsiewu nowotworu przyczynia się do wystąpienia heterogeniczności komórek nowotworowych. Uprzednio sądzono, iż metastaza nowotworu odbywa się albo poprzez zasiedle</w:t>
      </w:r>
      <w:r>
        <w:rPr>
          <w:rFonts w:ascii="Arial" w:eastAsia="Arial" w:hAnsi="Arial" w:cs="Arial"/>
          <w:sz w:val="24"/>
          <w:szCs w:val="24"/>
        </w:rPr>
        <w:t>nie naczyń limfatycznych i wystąpienie ognisk przerzutowych w regionalnych węzłach chłonnych, lub do odległych tkanek poprzez układ krwionośny. Wyniki badań przeprowadzonych na mysim modelu raka sutka, wskazują natomiast, że zarówno droga przez układ limfa</w:t>
      </w:r>
      <w:r>
        <w:rPr>
          <w:rFonts w:ascii="Arial" w:eastAsia="Arial" w:hAnsi="Arial" w:cs="Arial"/>
          <w:sz w:val="24"/>
          <w:szCs w:val="24"/>
        </w:rPr>
        <w:t>tyczny, jak i ta przez układ krwionośny mogą koegzystować (6). W badaniu tym odkryto, iż naciekanie nowotworu na sąsiadujące węzły chłonne, może przyczynić się do przedostawania się komórek nowotworowych do oplatających węzeł naczyń krwionośnych. To w kons</w:t>
      </w:r>
      <w:r>
        <w:rPr>
          <w:rFonts w:ascii="Arial" w:eastAsia="Arial" w:hAnsi="Arial" w:cs="Arial"/>
          <w:sz w:val="24"/>
          <w:szCs w:val="24"/>
        </w:rPr>
        <w:t>ekwencji może przyczynić się do metastazy nowotworu w odległych tkankach (6).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Przerost rozsianych komórek nowotworowych (ang.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disseminated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tumor 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cells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DTC) wynikający ze zmiennych warunków </w:t>
      </w:r>
      <w:proofErr w:type="spellStart"/>
      <w:r>
        <w:rPr>
          <w:rFonts w:ascii="Arial" w:eastAsia="Arial" w:hAnsi="Arial" w:cs="Arial"/>
          <w:sz w:val="24"/>
          <w:szCs w:val="24"/>
        </w:rPr>
        <w:t>mikrośrodowiska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panujących w danej niszy nowotworu, może się pr</w:t>
      </w:r>
      <w:r>
        <w:rPr>
          <w:rFonts w:ascii="Arial" w:eastAsia="Arial" w:hAnsi="Arial" w:cs="Arial"/>
          <w:sz w:val="24"/>
          <w:szCs w:val="24"/>
        </w:rPr>
        <w:t>zyczynić do dostosowywania się tych komórek do dalszej kolonizacji, a co za tym idzie, wystąpienia zmian w tropizmie CTC (6).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Proces przemieszczania się CTC nie jest procesem jednokierunkowym, a komórki te mają nie tylko zdolność zasiedlania innych narządó</w:t>
      </w:r>
      <w:r>
        <w:rPr>
          <w:rFonts w:ascii="Arial" w:eastAsia="Arial" w:hAnsi="Arial" w:cs="Arial"/>
          <w:sz w:val="24"/>
          <w:szCs w:val="24"/>
        </w:rPr>
        <w:t xml:space="preserve">w. Dowiedziono, że w procesie rozsiewania się nowotworu CTC mogą, powrócić do pierwotnej niszy, z której się wywodzą (7). U pacjentów z </w:t>
      </w:r>
      <w:proofErr w:type="spellStart"/>
      <w:r>
        <w:rPr>
          <w:rFonts w:ascii="Arial" w:eastAsia="Arial" w:hAnsi="Arial" w:cs="Arial"/>
          <w:sz w:val="24"/>
          <w:szCs w:val="24"/>
        </w:rPr>
        <w:t>rdzeniakiem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zarodkowym wykryto korelację komórek nowotworowych krążących w krwi z wystąpieniem przerzutów w oponach mózg</w:t>
      </w:r>
      <w:r>
        <w:rPr>
          <w:rFonts w:ascii="Arial" w:eastAsia="Arial" w:hAnsi="Arial" w:cs="Arial"/>
          <w:sz w:val="24"/>
          <w:szCs w:val="24"/>
        </w:rPr>
        <w:t xml:space="preserve">owo-rdzeniowych, potwierdzając tym samym wcześniej sugerowaną przy badaniach nad rakiem jajnika teorię, jakoby komórki CTC przyczyniały się do </w:t>
      </w:r>
      <w:r>
        <w:rPr>
          <w:rFonts w:ascii="Arial" w:eastAsia="Arial" w:hAnsi="Arial" w:cs="Arial"/>
          <w:sz w:val="24"/>
          <w:szCs w:val="24"/>
        </w:rPr>
        <w:lastRenderedPageBreak/>
        <w:t>lokalnej metastazy. Zatem heterogeniczność nowotworów i komórek CTC może wynikać również z dwukierunkowej wymiany</w:t>
      </w:r>
      <w:r>
        <w:rPr>
          <w:rFonts w:ascii="Arial" w:eastAsia="Arial" w:hAnsi="Arial" w:cs="Arial"/>
          <w:sz w:val="24"/>
          <w:szCs w:val="24"/>
        </w:rPr>
        <w:t xml:space="preserve"> między masami guza usytuowanymi w oddzielnych niszach (6). 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Heterogeniczność komórek nowotworowych krążących we krwi można wykazać dzięki analizie ich markerów powierzchniowych. Badania wskazują na obecność we krwi zarówno komórek o charakterze </w:t>
      </w:r>
      <w:proofErr w:type="spellStart"/>
      <w:r>
        <w:rPr>
          <w:rFonts w:ascii="Arial" w:eastAsia="Arial" w:hAnsi="Arial" w:cs="Arial"/>
          <w:sz w:val="24"/>
          <w:szCs w:val="24"/>
        </w:rPr>
        <w:t>epitelialn</w:t>
      </w:r>
      <w:r>
        <w:rPr>
          <w:rFonts w:ascii="Arial" w:eastAsia="Arial" w:hAnsi="Arial" w:cs="Arial"/>
          <w:sz w:val="24"/>
          <w:szCs w:val="24"/>
        </w:rPr>
        <w:t>ym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jak i </w:t>
      </w:r>
      <w:proofErr w:type="spellStart"/>
      <w:r>
        <w:rPr>
          <w:rFonts w:ascii="Arial" w:eastAsia="Arial" w:hAnsi="Arial" w:cs="Arial"/>
          <w:sz w:val="24"/>
          <w:szCs w:val="24"/>
        </w:rPr>
        <w:t>mezenchymalnym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Sugeruje to, że  CTC posiadają zdolność do przeprowadzenia procesu przejścia </w:t>
      </w:r>
      <w:proofErr w:type="spellStart"/>
      <w:r>
        <w:rPr>
          <w:rFonts w:ascii="Arial" w:eastAsia="Arial" w:hAnsi="Arial" w:cs="Arial"/>
          <w:sz w:val="24"/>
          <w:szCs w:val="24"/>
        </w:rPr>
        <w:t>epitelialno-mezenchymalnego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(ang.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epithelial-mesenchymal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transition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EMT). W wyniku tego procesu komórki nabłonkowe nabywają fenotyp </w:t>
      </w:r>
      <w:proofErr w:type="spellStart"/>
      <w:r>
        <w:rPr>
          <w:rFonts w:ascii="Arial" w:eastAsia="Arial" w:hAnsi="Arial" w:cs="Arial"/>
          <w:sz w:val="24"/>
          <w:szCs w:val="24"/>
        </w:rPr>
        <w:t>mezenchymalny</w:t>
      </w:r>
      <w:proofErr w:type="spellEnd"/>
      <w:r>
        <w:rPr>
          <w:rFonts w:ascii="Arial" w:eastAsia="Arial" w:hAnsi="Arial" w:cs="Arial"/>
          <w:sz w:val="24"/>
          <w:szCs w:val="24"/>
        </w:rPr>
        <w:t>, pozw</w:t>
      </w:r>
      <w:r>
        <w:rPr>
          <w:rFonts w:ascii="Arial" w:eastAsia="Arial" w:hAnsi="Arial" w:cs="Arial"/>
          <w:sz w:val="24"/>
          <w:szCs w:val="24"/>
        </w:rPr>
        <w:t xml:space="preserve">alający im do nabywania zdolności do ruchu, zdolności penetracji błony podstawnej i macierzy zewnątrzkomórkowej – ECM. Często dzięki temu nowemu fenotypowi CTC stają się oporne na radio- i chemioterapię (8). 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Cechą charakterystyczną CTC jest zdolność do tw</w:t>
      </w:r>
      <w:r>
        <w:rPr>
          <w:rFonts w:ascii="Arial" w:eastAsia="Arial" w:hAnsi="Arial" w:cs="Arial"/>
          <w:sz w:val="24"/>
          <w:szCs w:val="24"/>
        </w:rPr>
        <w:t>orzenia klastrów we krwi obwodowej. Ich powstawanie może mieć miejsce zarówno w naczyniach krwionośnych, jak i uprzednio w guzie pierwotnym. We krwi obwodowej klastry występują stosunkowo rzadko, ponieważ ich rozmiar uniemożliwia im swobodne przedostawanie</w:t>
      </w:r>
      <w:r>
        <w:rPr>
          <w:rFonts w:ascii="Arial" w:eastAsia="Arial" w:hAnsi="Arial" w:cs="Arial"/>
          <w:sz w:val="24"/>
          <w:szCs w:val="24"/>
        </w:rPr>
        <w:t xml:space="preserve"> się z małych naczyń włosowatych; zostają one zatrzymane w wąskich naczyniach krwionośnych. Zdecydowanie częściej można obserwować we krwi pojedyncze komórki nowotworowe. Niemniej jednak, w przypadku guzów nabłonkowych odnotowuje się częste tworzenie się k</w:t>
      </w:r>
      <w:r>
        <w:rPr>
          <w:rFonts w:ascii="Arial" w:eastAsia="Arial" w:hAnsi="Arial" w:cs="Arial"/>
          <w:sz w:val="24"/>
          <w:szCs w:val="24"/>
        </w:rPr>
        <w:t xml:space="preserve">lastrów, pozwalające na zbiorowe przemieszczanie się komórek. Tworzeniu się klastrów sprzyja osiągnięcie częściowego fenotypu EMT (6). Fenotyp ten, inaczej zwany hybrydowym fenotypem </w:t>
      </w:r>
      <w:proofErr w:type="spellStart"/>
      <w:r>
        <w:rPr>
          <w:rFonts w:ascii="Arial" w:eastAsia="Arial" w:hAnsi="Arial" w:cs="Arial"/>
          <w:sz w:val="24"/>
          <w:szCs w:val="24"/>
        </w:rPr>
        <w:t>epitelialno-mezynchemalnym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 przypadku metastazy nadaje komórkom migrując</w:t>
      </w:r>
      <w:r>
        <w:rPr>
          <w:rFonts w:ascii="Arial" w:eastAsia="Arial" w:hAnsi="Arial" w:cs="Arial"/>
          <w:sz w:val="24"/>
          <w:szCs w:val="24"/>
        </w:rPr>
        <w:t xml:space="preserve">ym specyficzne cechy. Przede wszystkim komórki nie tracą całkowicie połączeń komórkowych i podlegają migracji zbiorczej – jako klastry. Charakterystyczne dla fenotypu częściowego jest też wzmocnienie charakteru macierzystości komórek, przyczyniającego się </w:t>
      </w:r>
      <w:r>
        <w:rPr>
          <w:rFonts w:ascii="Arial" w:eastAsia="Arial" w:hAnsi="Arial" w:cs="Arial"/>
          <w:sz w:val="24"/>
          <w:szCs w:val="24"/>
        </w:rPr>
        <w:t>do zwiększonej zdolności do inicjowania przerzutów. Dodatkowo fenotyp ten ułatwia komórkom krążącym we krwi ich przeżycie następnie procesu metastazy (9).</w:t>
      </w:r>
    </w:p>
    <w:p w:rsidR="00D731B3" w:rsidRDefault="00E36E84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Rycina 1 (Ryc.1) przedstawia drogi metastazy, oraz to jak wpływają one na heterogeniczny charakter CT</w:t>
      </w:r>
      <w:r>
        <w:rPr>
          <w:rFonts w:ascii="Arial" w:eastAsia="Arial" w:hAnsi="Arial" w:cs="Arial"/>
          <w:sz w:val="24"/>
          <w:szCs w:val="24"/>
        </w:rPr>
        <w:t xml:space="preserve">C. Komórki mogą </w:t>
      </w:r>
      <w:proofErr w:type="spellStart"/>
      <w:r>
        <w:rPr>
          <w:rFonts w:ascii="Arial" w:eastAsia="Arial" w:hAnsi="Arial" w:cs="Arial"/>
          <w:sz w:val="24"/>
          <w:szCs w:val="24"/>
        </w:rPr>
        <w:t>przerzutować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lokalnie lub do odległych nisz poprzez krwioobieg oraz układ limfatyczny z węzłami chłonnymi. Mechanizmy molekularne umożliwiające tworzenie przerzutów to przejście EMT oraz przejście </w:t>
      </w:r>
      <w:proofErr w:type="spellStart"/>
      <w:r>
        <w:rPr>
          <w:rFonts w:ascii="Arial" w:eastAsia="Arial" w:hAnsi="Arial" w:cs="Arial"/>
          <w:sz w:val="24"/>
          <w:szCs w:val="24"/>
        </w:rPr>
        <w:t>mezynchemalno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-ameboidalne (ang.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mesenchymal</w:t>
      </w:r>
      <w:r>
        <w:rPr>
          <w:rFonts w:ascii="Arial" w:eastAsia="Arial" w:hAnsi="Arial" w:cs="Arial"/>
          <w:i/>
          <w:sz w:val="24"/>
          <w:szCs w:val="24"/>
        </w:rPr>
        <w:t>-amoeboid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transition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 MAT) (6).</w:t>
      </w:r>
      <w:r>
        <w:rPr>
          <w:rFonts w:ascii="Arial" w:eastAsia="Arial" w:hAnsi="Arial" w:cs="Arial"/>
        </w:rPr>
        <w:t xml:space="preserve"> 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MAT to proces, w wyniku którego dochodzi do przekształcenia sposobu migracji oraz zmiany fenotypu komórek z </w:t>
      </w:r>
      <w:proofErr w:type="spellStart"/>
      <w:r>
        <w:rPr>
          <w:rFonts w:ascii="Arial" w:eastAsia="Arial" w:hAnsi="Arial" w:cs="Arial"/>
          <w:sz w:val="24"/>
          <w:szCs w:val="24"/>
        </w:rPr>
        <w:t>mezynchemalnego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na ameboidalny. Taka zmiana plastyczności komórek jest zazwyczaj odpowiedzią na zmiany </w:t>
      </w:r>
      <w:proofErr w:type="spellStart"/>
      <w:r>
        <w:rPr>
          <w:rFonts w:ascii="Arial" w:eastAsia="Arial" w:hAnsi="Arial" w:cs="Arial"/>
          <w:sz w:val="24"/>
          <w:szCs w:val="24"/>
        </w:rPr>
        <w:t>mikrośrodow</w:t>
      </w:r>
      <w:r>
        <w:rPr>
          <w:rFonts w:ascii="Arial" w:eastAsia="Arial" w:hAnsi="Arial" w:cs="Arial"/>
          <w:sz w:val="24"/>
          <w:szCs w:val="24"/>
        </w:rPr>
        <w:t>iskowe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 obrębie nowotworu, związane między innymi z działaniem inhibitorów </w:t>
      </w:r>
      <w:proofErr w:type="spellStart"/>
      <w:r>
        <w:rPr>
          <w:rFonts w:ascii="Arial" w:eastAsia="Arial" w:hAnsi="Arial" w:cs="Arial"/>
          <w:sz w:val="24"/>
          <w:szCs w:val="24"/>
        </w:rPr>
        <w:t>metaloproteaz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hamujących rozkład macierzy zewnątrzkomórkowej. MAT jest zatem procesem, który jest szybką odpowiedzią na zmienne warunki panujące w niszy nowotworowej. Kolonizacja </w:t>
      </w:r>
      <w:r>
        <w:rPr>
          <w:rFonts w:ascii="Arial" w:eastAsia="Arial" w:hAnsi="Arial" w:cs="Arial"/>
          <w:sz w:val="24"/>
          <w:szCs w:val="24"/>
        </w:rPr>
        <w:t xml:space="preserve">nowych miejsc może wiązać się z  pojawieniem się rozsianych komórek nowotworowych  DTC ( ang.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disseminated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tumor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cells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color w:val="C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(6,10). </w:t>
      </w:r>
    </w:p>
    <w:p w:rsidR="00D731B3" w:rsidRDefault="00E36E84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noProof/>
        </w:rPr>
        <w:lastRenderedPageBreak/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left</wp:align>
            </wp:positionH>
            <wp:positionV relativeFrom="margin">
              <wp:posOffset>986789</wp:posOffset>
            </wp:positionV>
            <wp:extent cx="5695950" cy="4076700"/>
            <wp:effectExtent l="0" t="0" r="0" b="0"/>
            <wp:wrapSquare wrapText="bothSides" distT="0" distB="0" distL="114300" distR="114300"/>
            <wp:docPr id="1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l="21157" t="16765" r="21157" b="970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07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31B3" w:rsidRDefault="00E36E84">
      <w:pPr>
        <w:rPr>
          <w:rFonts w:ascii="Arial" w:eastAsia="Arial" w:hAnsi="Arial" w:cs="Arial"/>
          <w:sz w:val="26"/>
          <w:szCs w:val="26"/>
        </w:rPr>
      </w:pPr>
      <w:r>
        <w:br w:type="page"/>
      </w:r>
    </w:p>
    <w:p w:rsidR="00D731B3" w:rsidRDefault="00E36E84">
      <w:pPr>
        <w:rPr>
          <w:rFonts w:ascii="Arial" w:eastAsia="Arial" w:hAnsi="Arial" w:cs="Arial"/>
        </w:rPr>
      </w:pPr>
      <w:bookmarkStart w:id="9" w:name="_heading=h.4d34og8" w:colFirst="0" w:colLast="0"/>
      <w:bookmarkEnd w:id="9"/>
      <w:r>
        <w:rPr>
          <w:rFonts w:ascii="Arial" w:eastAsia="Arial" w:hAnsi="Arial" w:cs="Arial"/>
        </w:rPr>
        <w:lastRenderedPageBreak/>
        <w:t>1.2. Rak jajnika</w:t>
      </w:r>
    </w:p>
    <w:p w:rsidR="00D731B3" w:rsidRDefault="00E36E84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Nowotwór jajnika należy do jednego z najczęstszych typów nowotworów dotykających kobiety. Dane Global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Cancer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Observatory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wykazują, że współczynnik zapadalności na raka jajnika w 2020 roku wynosił 6,6 na 100 tysięcy przypadków, przy wskaźniku umieralności 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ynosił 4,2 na 100 tysięcy przypadków (Rycina 2) (11). 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Charakterystyka raka jajnika wskazuje na obecność trzech typów nowotworu, wśród których możemy wyróżnić nowotwory zarodkowe, sznurów płciowych i podścieliska oraz najczęściej występujący – typ nabłonko</w:t>
      </w:r>
      <w:r>
        <w:rPr>
          <w:rFonts w:ascii="Arial" w:eastAsia="Arial" w:hAnsi="Arial" w:cs="Arial"/>
          <w:sz w:val="24"/>
          <w:szCs w:val="24"/>
        </w:rPr>
        <w:t xml:space="preserve">wy. Około 95% diagnozowanych pacjentek choruje na nowotwór jajnika typu nabłonkowego, o różnych podtypach histologicznych, wśród których do najczęstszych zaliczyć można: 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32"/>
          <w:szCs w:val="32"/>
          <w:highlight w:val="yellow"/>
        </w:rPr>
        <w:t xml:space="preserve">Zrobić </w:t>
      </w:r>
      <w:proofErr w:type="spellStart"/>
      <w:r>
        <w:rPr>
          <w:rFonts w:ascii="Arial" w:eastAsia="Arial" w:hAnsi="Arial" w:cs="Arial"/>
          <w:b/>
          <w:sz w:val="32"/>
          <w:szCs w:val="32"/>
          <w:highlight w:val="yellow"/>
        </w:rPr>
        <w:t>punktory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podtyp surowiczy; podtyp </w:t>
      </w:r>
      <w:proofErr w:type="spellStart"/>
      <w:r>
        <w:rPr>
          <w:rFonts w:ascii="Arial" w:eastAsia="Arial" w:hAnsi="Arial" w:cs="Arial"/>
          <w:sz w:val="24"/>
          <w:szCs w:val="24"/>
        </w:rPr>
        <w:t>endometrioidalny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podtyp śluzowy; podtyp </w:t>
      </w:r>
      <w:proofErr w:type="spellStart"/>
      <w:r>
        <w:rPr>
          <w:rFonts w:ascii="Arial" w:eastAsia="Arial" w:hAnsi="Arial" w:cs="Arial"/>
          <w:sz w:val="24"/>
          <w:szCs w:val="24"/>
        </w:rPr>
        <w:t>jas</w:t>
      </w:r>
      <w:r>
        <w:rPr>
          <w:rFonts w:ascii="Arial" w:eastAsia="Arial" w:hAnsi="Arial" w:cs="Arial"/>
          <w:sz w:val="24"/>
          <w:szCs w:val="24"/>
        </w:rPr>
        <w:t>nokomórkowy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(12).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774700</wp:posOffset>
            </wp:positionV>
            <wp:extent cx="5505450" cy="3086100"/>
            <wp:effectExtent l="0" t="0" r="0" b="0"/>
            <wp:wrapSquare wrapText="bothSides" distT="0" distB="0" distL="114300" distR="114300"/>
            <wp:docPr id="15" name="image1.png" descr="graph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aphic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08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Ze względu na stopień złośliwości podtyp surowiczy można rozdzielić na raki surowicze o wysokim stopniu złośliwości (ang. </w:t>
      </w:r>
      <w:r>
        <w:rPr>
          <w:rFonts w:ascii="Arial" w:eastAsia="Arial" w:hAnsi="Arial" w:cs="Arial"/>
          <w:i/>
          <w:sz w:val="24"/>
          <w:szCs w:val="24"/>
        </w:rPr>
        <w:t>high-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grade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serous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carcinoma</w:t>
      </w:r>
      <w:r>
        <w:rPr>
          <w:rFonts w:ascii="Arial" w:eastAsia="Arial" w:hAnsi="Arial" w:cs="Arial"/>
          <w:sz w:val="24"/>
          <w:szCs w:val="24"/>
        </w:rPr>
        <w:t xml:space="preserve"> – HGSC) oraz raki surowicze o niskim stopniu złośliwości (ang.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low-grade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serous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carci</w:t>
      </w:r>
      <w:r>
        <w:rPr>
          <w:rFonts w:ascii="Arial" w:eastAsia="Arial" w:hAnsi="Arial" w:cs="Arial"/>
          <w:i/>
          <w:sz w:val="24"/>
          <w:szCs w:val="24"/>
        </w:rPr>
        <w:t>noma</w:t>
      </w:r>
      <w:r>
        <w:rPr>
          <w:rFonts w:ascii="Arial" w:eastAsia="Arial" w:hAnsi="Arial" w:cs="Arial"/>
          <w:sz w:val="24"/>
          <w:szCs w:val="24"/>
        </w:rPr>
        <w:t xml:space="preserve"> – LGSC).  HGSC stanowią zdecydowanie przeważający procent przypadków nabłonkowego raka jajnika. Z uwagi na to, że HGSC i LGSC różnią się od siebie na poziomie molekularnym, jak również obrazem kliniczny, cechują je różne rokowania. Surowiczy rak jajni</w:t>
      </w:r>
      <w:r>
        <w:rPr>
          <w:rFonts w:ascii="Arial" w:eastAsia="Arial" w:hAnsi="Arial" w:cs="Arial"/>
          <w:sz w:val="24"/>
          <w:szCs w:val="24"/>
        </w:rPr>
        <w:t>ka o wysokim stopniu złośliwości charakteryzuje się zdecydowanie gorszymi rokowaniami, krótszym czasem przeżycia, w porównaniu do surowiczego raka jajnika o niskim stopniu złośliwości. Młodsze pacjentki częściej diagnozowane są z HGSC. Podejrzewa się, że o</w:t>
      </w:r>
      <w:r>
        <w:rPr>
          <w:rFonts w:ascii="Arial" w:eastAsia="Arial" w:hAnsi="Arial" w:cs="Arial"/>
          <w:sz w:val="24"/>
          <w:szCs w:val="24"/>
        </w:rPr>
        <w:t xml:space="preserve">becność nowotworu jajnika HGSC może mieć podłoże w komórkach </w:t>
      </w:r>
      <w:proofErr w:type="spellStart"/>
      <w:r>
        <w:rPr>
          <w:rFonts w:ascii="Arial" w:eastAsia="Arial" w:hAnsi="Arial" w:cs="Arial"/>
          <w:sz w:val="24"/>
          <w:szCs w:val="24"/>
        </w:rPr>
        <w:t>epitelialnych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jajowodu, z kolei LGSC wywodzi się typowo z komórek jajnika (12,13).  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 ostatnich latach powstała nowa teoria dotycząca pochodzenia i patogenezy raka jajnika. Uwzględniając nie tylko dane morfologiczne i immunohistochemiczne, ale także wyniki badań molekularnych wyodrębniono dwa typy raka jajnika. Zgodnie z tym paradygmatem </w:t>
      </w:r>
      <w:r>
        <w:rPr>
          <w:rFonts w:ascii="Arial" w:eastAsia="Arial" w:hAnsi="Arial" w:cs="Arial"/>
          <w:sz w:val="24"/>
          <w:szCs w:val="24"/>
        </w:rPr>
        <w:t xml:space="preserve">rak surowiczy niskiego stopnia złośliwości (G1, G2), rak </w:t>
      </w:r>
      <w:proofErr w:type="spellStart"/>
      <w:r>
        <w:rPr>
          <w:rFonts w:ascii="Arial" w:eastAsia="Arial" w:hAnsi="Arial" w:cs="Arial"/>
          <w:sz w:val="24"/>
          <w:szCs w:val="24"/>
        </w:rPr>
        <w:t>endometrioidalny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(G1), rak </w:t>
      </w:r>
      <w:proofErr w:type="spellStart"/>
      <w:r>
        <w:rPr>
          <w:rFonts w:ascii="Arial" w:eastAsia="Arial" w:hAnsi="Arial" w:cs="Arial"/>
          <w:sz w:val="24"/>
          <w:szCs w:val="24"/>
        </w:rPr>
        <w:t>jasnokomórkowy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 rak śluzowy zostały zaklasyfikowane jako guzy typu I, podczas gdy rak surowiczy wysokiego stopnia złośliwości (G3), rak </w:t>
      </w:r>
      <w:proofErr w:type="spellStart"/>
      <w:r>
        <w:rPr>
          <w:rFonts w:ascii="Arial" w:eastAsia="Arial" w:hAnsi="Arial" w:cs="Arial"/>
          <w:sz w:val="24"/>
          <w:szCs w:val="24"/>
        </w:rPr>
        <w:t>endometrioidalny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(G3), złośliwe mie</w:t>
      </w:r>
      <w:r>
        <w:rPr>
          <w:rFonts w:ascii="Arial" w:eastAsia="Arial" w:hAnsi="Arial" w:cs="Arial"/>
          <w:sz w:val="24"/>
          <w:szCs w:val="24"/>
        </w:rPr>
        <w:t>szane nowotwory mezodermy oraz niezróżnicowane nowotwory są klasyfikowane jako nowotwory typu II (14–16).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Guzy typu I stanowią 25% wszystkich zdiagnozowanych przypadków i obejmują </w:t>
      </w:r>
      <w:proofErr w:type="spellStart"/>
      <w:r>
        <w:rPr>
          <w:rFonts w:ascii="Arial" w:eastAsia="Arial" w:hAnsi="Arial" w:cs="Arial"/>
          <w:sz w:val="24"/>
          <w:szCs w:val="24"/>
        </w:rPr>
        <w:t>epitelialne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nowotwory jajnika, które rosną powoli i charakteryzują się poprz</w:t>
      </w:r>
      <w:r>
        <w:rPr>
          <w:rFonts w:ascii="Arial" w:eastAsia="Arial" w:hAnsi="Arial" w:cs="Arial"/>
          <w:sz w:val="24"/>
          <w:szCs w:val="24"/>
        </w:rPr>
        <w:t>edzającymi guzami granicznymi. Nowotwory te są raczej stabilne genetycznie i wykazują specyficzne mutacje w genach kodujących KRAS, BRAF, PTEN i β-</w:t>
      </w:r>
      <w:proofErr w:type="spellStart"/>
      <w:r>
        <w:rPr>
          <w:rFonts w:ascii="Arial" w:eastAsia="Arial" w:hAnsi="Arial" w:cs="Arial"/>
          <w:sz w:val="24"/>
          <w:szCs w:val="24"/>
        </w:rPr>
        <w:t>kateninę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Pozostałe 75% przypadków stanowią guzy typu II. Charakterystyczne dla nich są szybki wzrost i duża </w:t>
      </w:r>
      <w:r>
        <w:rPr>
          <w:rFonts w:ascii="Arial" w:eastAsia="Arial" w:hAnsi="Arial" w:cs="Arial"/>
          <w:sz w:val="24"/>
          <w:szCs w:val="24"/>
        </w:rPr>
        <w:t xml:space="preserve">inwazyjność. Z tego też powodu stanowią duże wyzwanie diagnostyczne. Guzy typu II wykazują znaczącą niestabilność genetyczną. Objawia się ona poprzez wystąpienie mutacji </w:t>
      </w:r>
      <w:r>
        <w:rPr>
          <w:rFonts w:ascii="Arial" w:eastAsia="Arial" w:hAnsi="Arial" w:cs="Arial"/>
          <w:i/>
          <w:sz w:val="24"/>
          <w:szCs w:val="24"/>
        </w:rPr>
        <w:t>TP53</w:t>
      </w:r>
      <w:r>
        <w:rPr>
          <w:rFonts w:ascii="Arial" w:eastAsia="Arial" w:hAnsi="Arial" w:cs="Arial"/>
          <w:sz w:val="24"/>
          <w:szCs w:val="24"/>
        </w:rPr>
        <w:t xml:space="preserve"> w ponad 95% przypadków. Około 10-20% przypadków posiada również mutację w </w:t>
      </w:r>
      <w:r>
        <w:rPr>
          <w:rFonts w:ascii="Arial" w:eastAsia="Arial" w:hAnsi="Arial" w:cs="Arial"/>
          <w:i/>
          <w:sz w:val="24"/>
          <w:szCs w:val="24"/>
        </w:rPr>
        <w:t>BRCA1</w:t>
      </w:r>
      <w:r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i/>
          <w:sz w:val="24"/>
          <w:szCs w:val="24"/>
        </w:rPr>
        <w:t xml:space="preserve"> BRCA2</w:t>
      </w:r>
      <w:r>
        <w:rPr>
          <w:rFonts w:ascii="Arial" w:eastAsia="Arial" w:hAnsi="Arial" w:cs="Arial"/>
          <w:sz w:val="24"/>
          <w:szCs w:val="24"/>
        </w:rPr>
        <w:t xml:space="preserve">. Zaobserwowana jest też </w:t>
      </w:r>
      <w:proofErr w:type="spellStart"/>
      <w:r>
        <w:rPr>
          <w:rFonts w:ascii="Arial" w:eastAsia="Arial" w:hAnsi="Arial" w:cs="Arial"/>
          <w:sz w:val="24"/>
          <w:szCs w:val="24"/>
        </w:rPr>
        <w:t>hipermetylacja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promotora </w:t>
      </w:r>
      <w:r>
        <w:rPr>
          <w:rFonts w:ascii="Arial" w:eastAsia="Arial" w:hAnsi="Arial" w:cs="Arial"/>
          <w:i/>
          <w:sz w:val="24"/>
          <w:szCs w:val="24"/>
        </w:rPr>
        <w:t>BRCA1</w:t>
      </w:r>
      <w:r>
        <w:rPr>
          <w:rFonts w:ascii="Arial" w:eastAsia="Arial" w:hAnsi="Arial" w:cs="Arial"/>
          <w:sz w:val="24"/>
          <w:szCs w:val="24"/>
        </w:rPr>
        <w:t xml:space="preserve"> w 10–40% przypadków guzów typu II (14–16).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Istnieje wiele czynników, które mogą przyczynić się do rozwoju nowotworu jajnika. Najczęściej wskazywanymi czynnikami ryzyka są oczywiście przypadki wy</w:t>
      </w:r>
      <w:r>
        <w:rPr>
          <w:rFonts w:ascii="Arial" w:eastAsia="Arial" w:hAnsi="Arial" w:cs="Arial"/>
          <w:sz w:val="24"/>
          <w:szCs w:val="24"/>
        </w:rPr>
        <w:t xml:space="preserve">stąpienia chorób genetycznych i nowotworów w rodzinie pacjentki. Mutacje w genach </w:t>
      </w:r>
      <w:proofErr w:type="spellStart"/>
      <w:r>
        <w:rPr>
          <w:rFonts w:ascii="Arial" w:eastAsia="Arial" w:hAnsi="Arial" w:cs="Arial"/>
          <w:sz w:val="24"/>
          <w:szCs w:val="24"/>
        </w:rPr>
        <w:t>supresorowych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BRCA1</w:t>
      </w:r>
      <w:r>
        <w:rPr>
          <w:rFonts w:ascii="Arial" w:eastAsia="Arial" w:hAnsi="Arial" w:cs="Arial"/>
          <w:sz w:val="24"/>
          <w:szCs w:val="24"/>
        </w:rPr>
        <w:t xml:space="preserve"> i </w:t>
      </w:r>
      <w:r>
        <w:rPr>
          <w:rFonts w:ascii="Arial" w:eastAsia="Arial" w:hAnsi="Arial" w:cs="Arial"/>
          <w:i/>
          <w:sz w:val="24"/>
          <w:szCs w:val="24"/>
        </w:rPr>
        <w:t>BRCA2</w:t>
      </w:r>
      <w:r>
        <w:rPr>
          <w:rFonts w:ascii="Arial" w:eastAsia="Arial" w:hAnsi="Arial" w:cs="Arial"/>
          <w:sz w:val="24"/>
          <w:szCs w:val="24"/>
        </w:rPr>
        <w:t xml:space="preserve"> odpowiadają za zwiększone ryzyko wystąpienia raka jajnika, co wynika z zespołu dziedzicznego raka piersi i jajnika (ang.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hereditary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breast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ova</w:t>
      </w:r>
      <w:r>
        <w:rPr>
          <w:rFonts w:ascii="Arial" w:eastAsia="Arial" w:hAnsi="Arial" w:cs="Arial"/>
          <w:i/>
          <w:sz w:val="24"/>
          <w:szCs w:val="24"/>
        </w:rPr>
        <w:t>rian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cancer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syndrome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HBOC). Kolejną chorobą dziedziczną, o charakterze autosomalnym dominującym, predysponującą do zachorowania na raka jajnika jest zespół Lyncha i związane z nim mutacje w genach </w:t>
      </w:r>
      <w:r>
        <w:rPr>
          <w:rFonts w:ascii="Arial" w:eastAsia="Arial" w:hAnsi="Arial" w:cs="Arial"/>
          <w:i/>
          <w:sz w:val="24"/>
          <w:szCs w:val="24"/>
        </w:rPr>
        <w:t>MLH1</w:t>
      </w:r>
      <w:r>
        <w:rPr>
          <w:rFonts w:ascii="Arial" w:eastAsia="Arial" w:hAnsi="Arial" w:cs="Arial"/>
          <w:sz w:val="24"/>
          <w:szCs w:val="24"/>
        </w:rPr>
        <w:t xml:space="preserve"> i </w:t>
      </w:r>
      <w:r>
        <w:rPr>
          <w:rFonts w:ascii="Arial" w:eastAsia="Arial" w:hAnsi="Arial" w:cs="Arial"/>
          <w:i/>
          <w:sz w:val="24"/>
          <w:szCs w:val="24"/>
        </w:rPr>
        <w:t xml:space="preserve">MSH2 </w:t>
      </w:r>
      <w:r>
        <w:rPr>
          <w:rFonts w:ascii="Arial" w:eastAsia="Arial" w:hAnsi="Arial" w:cs="Arial"/>
          <w:sz w:val="24"/>
          <w:szCs w:val="24"/>
        </w:rPr>
        <w:t>(12,17).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Dowiedziono, że także </w:t>
      </w:r>
      <w:proofErr w:type="spellStart"/>
      <w:r>
        <w:rPr>
          <w:rFonts w:ascii="Arial" w:eastAsia="Arial" w:hAnsi="Arial" w:cs="Arial"/>
          <w:sz w:val="24"/>
          <w:szCs w:val="24"/>
        </w:rPr>
        <w:t>endometrioza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zwiększa ryzyko zachorowania na różne typy nowotworów jajnika, w tym nabłonkowy, </w:t>
      </w:r>
      <w:proofErr w:type="spellStart"/>
      <w:r>
        <w:rPr>
          <w:rFonts w:ascii="Arial" w:eastAsia="Arial" w:hAnsi="Arial" w:cs="Arial"/>
          <w:sz w:val="24"/>
          <w:szCs w:val="24"/>
        </w:rPr>
        <w:t>jasnokomórkowy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endometrioidalny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oraz surowiczy o niskim stopniu złośliwości. </w:t>
      </w:r>
      <w:proofErr w:type="spellStart"/>
      <w:r>
        <w:rPr>
          <w:rFonts w:ascii="Arial" w:eastAsia="Arial" w:hAnsi="Arial" w:cs="Arial"/>
          <w:sz w:val="24"/>
          <w:szCs w:val="24"/>
        </w:rPr>
        <w:t>Endometrioza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definiowana jako obecność tkanek </w:t>
      </w:r>
      <w:proofErr w:type="spellStart"/>
      <w:r>
        <w:rPr>
          <w:rFonts w:ascii="Arial" w:eastAsia="Arial" w:hAnsi="Arial" w:cs="Arial"/>
          <w:sz w:val="24"/>
          <w:szCs w:val="24"/>
        </w:rPr>
        <w:t>endometriopodobnych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poza macicą, jest złożonym zes</w:t>
      </w:r>
      <w:r>
        <w:rPr>
          <w:rFonts w:ascii="Arial" w:eastAsia="Arial" w:hAnsi="Arial" w:cs="Arial"/>
          <w:sz w:val="24"/>
          <w:szCs w:val="24"/>
        </w:rPr>
        <w:t xml:space="preserve">połem chorobowym, który cechuje się występowaniem przewlekłego procesu zapalnego zależnego od estrogenów. Taki proces zapalny dotyczy przede wszystkim miednicy, jednak często obejmuje również jajniki (18,19). Zatem odpowiednie leczenie </w:t>
      </w:r>
      <w:proofErr w:type="spellStart"/>
      <w:r>
        <w:rPr>
          <w:rFonts w:ascii="Arial" w:eastAsia="Arial" w:hAnsi="Arial" w:cs="Arial"/>
          <w:sz w:val="24"/>
          <w:szCs w:val="24"/>
        </w:rPr>
        <w:t>endometriozy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może pr</w:t>
      </w:r>
      <w:r>
        <w:rPr>
          <w:rFonts w:ascii="Arial" w:eastAsia="Arial" w:hAnsi="Arial" w:cs="Arial"/>
          <w:sz w:val="24"/>
          <w:szCs w:val="24"/>
        </w:rPr>
        <w:t xml:space="preserve">zyczynić się zmniejszenia ryzyka zachorowania na raka jajnika, brakuje jednak potwierdzenia, że usunięcie zmian </w:t>
      </w:r>
      <w:proofErr w:type="spellStart"/>
      <w:r>
        <w:rPr>
          <w:rFonts w:ascii="Arial" w:eastAsia="Arial" w:hAnsi="Arial" w:cs="Arial"/>
          <w:sz w:val="24"/>
          <w:szCs w:val="24"/>
        </w:rPr>
        <w:t>endometrialnych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całkowicie zmniejszy szanse rozwoju nowotworu (12,17).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Jak dowodzą badania, również ilość cykli owulacyjnych w życiu kobiety jes</w:t>
      </w:r>
      <w:r>
        <w:rPr>
          <w:rFonts w:ascii="Arial" w:eastAsia="Arial" w:hAnsi="Arial" w:cs="Arial"/>
          <w:sz w:val="24"/>
          <w:szCs w:val="24"/>
        </w:rPr>
        <w:t xml:space="preserve">t czynnikiem ryzyka. Dokładny wpływ owulacji na zapadalność na raka jajnika nie jest znany, natomiast sugeruje się, że </w:t>
      </w:r>
      <w:r>
        <w:rPr>
          <w:rFonts w:ascii="Arial" w:eastAsia="Arial" w:hAnsi="Arial" w:cs="Arial"/>
          <w:sz w:val="24"/>
          <w:szCs w:val="24"/>
        </w:rPr>
        <w:lastRenderedPageBreak/>
        <w:t>prozapalna reakcja dystalna jajowodów podczas owulacji, może przyczyniać się do uzłośliwienia komórek jajnika. Aktualny stan wiedzy wskaz</w:t>
      </w:r>
      <w:r>
        <w:rPr>
          <w:rFonts w:ascii="Arial" w:eastAsia="Arial" w:hAnsi="Arial" w:cs="Arial"/>
          <w:sz w:val="24"/>
          <w:szCs w:val="24"/>
        </w:rPr>
        <w:t>uje na pozytywny wpływ przerywania owulacji na zmniejszenie ryzyka wystąpienia raka jajnika. Do przerwania owulacji może dojść z przyczyn naturalnych takich jak wczesne wystąpienie miesiączki, zajście w ciążę, późniejsze karmienie piersią czy też wcześniej</w:t>
      </w:r>
      <w:r>
        <w:rPr>
          <w:rFonts w:ascii="Arial" w:eastAsia="Arial" w:hAnsi="Arial" w:cs="Arial"/>
          <w:sz w:val="24"/>
          <w:szCs w:val="24"/>
        </w:rPr>
        <w:t>sze wystąpienie menopauzy. Dodatkowo czynnikiem przerywającym owulację mogą być środku farmakologiczne. Zależnie od czasu stosowania doustnych środków antykoncepcyjnych ryzyko zachorowania obniża się nawet o 50% (w przypadku przyjmowania środków przez okre</w:t>
      </w:r>
      <w:r>
        <w:rPr>
          <w:rFonts w:ascii="Arial" w:eastAsia="Arial" w:hAnsi="Arial" w:cs="Arial"/>
          <w:sz w:val="24"/>
          <w:szCs w:val="24"/>
        </w:rPr>
        <w:t xml:space="preserve">s 10 lat), również w grupie osób obciążonych mutacjami </w:t>
      </w:r>
      <w:r>
        <w:rPr>
          <w:rFonts w:ascii="Arial" w:eastAsia="Arial" w:hAnsi="Arial" w:cs="Arial"/>
          <w:i/>
          <w:sz w:val="24"/>
          <w:szCs w:val="24"/>
        </w:rPr>
        <w:t>BRCA1</w:t>
      </w:r>
      <w:r>
        <w:rPr>
          <w:rFonts w:ascii="Arial" w:eastAsia="Arial" w:hAnsi="Arial" w:cs="Arial"/>
          <w:sz w:val="24"/>
          <w:szCs w:val="24"/>
        </w:rPr>
        <w:t xml:space="preserve"> i </w:t>
      </w:r>
      <w:r>
        <w:rPr>
          <w:rFonts w:ascii="Arial" w:eastAsia="Arial" w:hAnsi="Arial" w:cs="Arial"/>
          <w:i/>
          <w:sz w:val="24"/>
          <w:szCs w:val="24"/>
        </w:rPr>
        <w:t>BRCA2</w:t>
      </w:r>
      <w:r>
        <w:rPr>
          <w:rFonts w:ascii="Arial" w:eastAsia="Arial" w:hAnsi="Arial" w:cs="Arial"/>
          <w:sz w:val="24"/>
          <w:szCs w:val="24"/>
        </w:rPr>
        <w:t xml:space="preserve"> (12,17,20).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Dowiedziono, iż stosowanie aspiryny, będącej lekiem przeciwzapalnym, wpływa na  ryzyko zachorowania na raka jajnika. Metaanalizy potwierdzają że regularne stosowanie małych da</w:t>
      </w:r>
      <w:r>
        <w:rPr>
          <w:rFonts w:ascii="Arial" w:eastAsia="Arial" w:hAnsi="Arial" w:cs="Arial"/>
          <w:sz w:val="24"/>
          <w:szCs w:val="24"/>
        </w:rPr>
        <w:t xml:space="preserve">wek aspiryny przez długi okres czasu zmniejsza ryzyko raka jajnika. Podobny wpływ zdaje się mieć stosowanie aspiryny u kobiet z zespołem Lyncha. Sugeruje się również, że stosowanie leków przeciwzapalnych takich jak aspiryna, może hamować </w:t>
      </w:r>
      <w:proofErr w:type="spellStart"/>
      <w:r>
        <w:rPr>
          <w:rFonts w:ascii="Arial" w:eastAsia="Arial" w:hAnsi="Arial" w:cs="Arial"/>
          <w:sz w:val="24"/>
          <w:szCs w:val="24"/>
        </w:rPr>
        <w:t>karcynogenny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proce</w:t>
      </w:r>
      <w:r>
        <w:rPr>
          <w:rFonts w:ascii="Arial" w:eastAsia="Arial" w:hAnsi="Arial" w:cs="Arial"/>
          <w:sz w:val="24"/>
          <w:szCs w:val="24"/>
        </w:rPr>
        <w:t xml:space="preserve">s przewlekłego zapalenia w </w:t>
      </w:r>
      <w:proofErr w:type="spellStart"/>
      <w:r>
        <w:rPr>
          <w:rFonts w:ascii="Arial" w:eastAsia="Arial" w:hAnsi="Arial" w:cs="Arial"/>
          <w:sz w:val="24"/>
          <w:szCs w:val="24"/>
        </w:rPr>
        <w:t>endometriozie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zatem stosowanie takich leków mogłoby być użyte jako terapia </w:t>
      </w:r>
      <w:proofErr w:type="spellStart"/>
      <w:r>
        <w:rPr>
          <w:rFonts w:ascii="Arial" w:eastAsia="Arial" w:hAnsi="Arial" w:cs="Arial"/>
          <w:sz w:val="24"/>
          <w:szCs w:val="24"/>
        </w:rPr>
        <w:t>adiuwantowa</w:t>
      </w:r>
      <w:proofErr w:type="spellEnd"/>
      <w:r>
        <w:rPr>
          <w:rFonts w:ascii="Arial" w:eastAsia="Arial" w:hAnsi="Arial" w:cs="Arial"/>
          <w:sz w:val="24"/>
          <w:szCs w:val="24"/>
        </w:rPr>
        <w:t>, uzupełniająca leczenie guzów (12,17).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Warto wspomnieć, że czynniki ryzyka związane są też z stylem życia pacjentek. Do najczęściej wymienianych w literaturze można zaliczyć wystąpienie otyłości, korzystanie z używek – alkoholu i papierosów – oraz dietę i poziom aktywności fizycznej (17).  Wyka</w:t>
      </w:r>
      <w:r>
        <w:rPr>
          <w:rFonts w:ascii="Arial" w:eastAsia="Arial" w:hAnsi="Arial" w:cs="Arial"/>
          <w:sz w:val="24"/>
          <w:szCs w:val="24"/>
        </w:rPr>
        <w:t>zano, że zwiększona podaż błonnika pokarmowego w diecie oraz stosowanie produktów na bazie soi, zmniejsza częstość pojawiania się raka jajnika. Natomiast niedobór witaminy D koreluje z zwiększonym ryzykiem rozwoju nowotworu jajnika (12).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Rak jajnika należy</w:t>
      </w:r>
      <w:r>
        <w:rPr>
          <w:rFonts w:ascii="Arial" w:eastAsia="Arial" w:hAnsi="Arial" w:cs="Arial"/>
          <w:sz w:val="24"/>
          <w:szCs w:val="24"/>
        </w:rPr>
        <w:t xml:space="preserve"> do nowotworów o dużej inwazyjności. Jego diagnoza we wczesnych stadiach jest utrudniona ze względu na brak specyficznych objawów. Najczęstsze objawy to bóle brzucha, którym towarzyszyć mogą wzdęcia czy też trudności w wypróżnianiu. Kolejnym objawem może b</w:t>
      </w:r>
      <w:r>
        <w:rPr>
          <w:rFonts w:ascii="Arial" w:eastAsia="Arial" w:hAnsi="Arial" w:cs="Arial"/>
          <w:sz w:val="24"/>
          <w:szCs w:val="24"/>
        </w:rPr>
        <w:t>yć częste oddawanie moczu. Może pojawiać się również obniżenie apetytu, które wynika z ciągłego uczucia sytości (12,21). Tego typu objawy często są ignorowane lub zostają powiązane z dolegliwościami związanymi z nieprawidłowym działaniem układu pokarmowego</w:t>
      </w:r>
      <w:r>
        <w:rPr>
          <w:rFonts w:ascii="Arial" w:eastAsia="Arial" w:hAnsi="Arial" w:cs="Arial"/>
          <w:sz w:val="24"/>
          <w:szCs w:val="24"/>
        </w:rPr>
        <w:t xml:space="preserve"> lub moczowego, co przyczynia się do opóźnionej diagnozy nowotworu (12,22). 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Czynnikiem decydującym o wskaźniku przeżycia pacjentek jest przede wszystkim czas postawienia diagnozy. Najczęściej diagnoza zostaje postawiona pacjentkom, u których nowotwór znaj</w:t>
      </w:r>
      <w:r>
        <w:rPr>
          <w:rFonts w:ascii="Arial" w:eastAsia="Arial" w:hAnsi="Arial" w:cs="Arial"/>
          <w:sz w:val="24"/>
          <w:szCs w:val="24"/>
        </w:rPr>
        <w:t>duje się już w stadium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zaawansowania III lub IV. Koreluje to ze zdecydowanie gorszymi rokowaniami. Jedną z przyczyn takiego stanu rzeczy jest brak specyficznych objawów, a także skutecznych testów przesiewowych oraz zidentyfikowanych </w:t>
      </w:r>
      <w:proofErr w:type="spellStart"/>
      <w:r>
        <w:rPr>
          <w:rFonts w:ascii="Arial" w:eastAsia="Arial" w:hAnsi="Arial" w:cs="Arial"/>
          <w:sz w:val="24"/>
          <w:szCs w:val="24"/>
        </w:rPr>
        <w:t>biomarkerów</w:t>
      </w:r>
      <w:proofErr w:type="spellEnd"/>
      <w:r>
        <w:rPr>
          <w:rFonts w:ascii="Arial" w:eastAsia="Arial" w:hAnsi="Arial" w:cs="Arial"/>
          <w:sz w:val="24"/>
          <w:szCs w:val="24"/>
        </w:rPr>
        <w:t>, które mog</w:t>
      </w:r>
      <w:r>
        <w:rPr>
          <w:rFonts w:ascii="Arial" w:eastAsia="Arial" w:hAnsi="Arial" w:cs="Arial"/>
          <w:sz w:val="24"/>
          <w:szCs w:val="24"/>
        </w:rPr>
        <w:t xml:space="preserve">łyby pomóc w diagnozie (12,22,23).  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Aktualnie jedyne zatwierdzone przez Agencję Żywności i Leków ( ang. </w:t>
      </w:r>
      <w:r>
        <w:rPr>
          <w:rFonts w:ascii="Arial" w:eastAsia="Arial" w:hAnsi="Arial" w:cs="Arial"/>
          <w:i/>
          <w:sz w:val="24"/>
          <w:szCs w:val="24"/>
        </w:rPr>
        <w:t xml:space="preserve">Food and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Drug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Administration</w:t>
      </w:r>
      <w:r>
        <w:rPr>
          <w:rFonts w:ascii="Arial" w:eastAsia="Arial" w:hAnsi="Arial" w:cs="Arial"/>
          <w:sz w:val="24"/>
          <w:szCs w:val="24"/>
        </w:rPr>
        <w:t xml:space="preserve"> – FDA) </w:t>
      </w:r>
      <w:proofErr w:type="spellStart"/>
      <w:r>
        <w:rPr>
          <w:rFonts w:ascii="Arial" w:eastAsia="Arial" w:hAnsi="Arial" w:cs="Arial"/>
          <w:sz w:val="24"/>
          <w:szCs w:val="24"/>
        </w:rPr>
        <w:t>biomarkery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 antygen CA125 (ang. </w:t>
      </w:r>
      <w:r>
        <w:rPr>
          <w:rFonts w:ascii="Arial" w:eastAsia="Arial" w:hAnsi="Arial" w:cs="Arial"/>
          <w:i/>
          <w:sz w:val="24"/>
          <w:szCs w:val="24"/>
        </w:rPr>
        <w:t xml:space="preserve">carcinoma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antigen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125</w:t>
      </w:r>
      <w:r>
        <w:rPr>
          <w:rFonts w:ascii="Arial" w:eastAsia="Arial" w:hAnsi="Arial" w:cs="Arial"/>
          <w:sz w:val="24"/>
          <w:szCs w:val="24"/>
        </w:rPr>
        <w:t xml:space="preserve"> – CA125) i HE4 czyli </w:t>
      </w:r>
      <w:proofErr w:type="spellStart"/>
      <w:r>
        <w:rPr>
          <w:rFonts w:ascii="Arial" w:eastAsia="Arial" w:hAnsi="Arial" w:cs="Arial"/>
          <w:sz w:val="24"/>
          <w:szCs w:val="24"/>
        </w:rPr>
        <w:t>podfrakcja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czwarta ludzkiego białka ko</w:t>
      </w:r>
      <w:r>
        <w:rPr>
          <w:rFonts w:ascii="Arial" w:eastAsia="Arial" w:hAnsi="Arial" w:cs="Arial"/>
          <w:sz w:val="24"/>
          <w:szCs w:val="24"/>
        </w:rPr>
        <w:t xml:space="preserve">mórek nabłonkowych najądrza (ang.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human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epididymis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protein 4</w:t>
      </w:r>
      <w:r>
        <w:rPr>
          <w:rFonts w:ascii="Arial" w:eastAsia="Arial" w:hAnsi="Arial" w:cs="Arial"/>
          <w:sz w:val="24"/>
          <w:szCs w:val="24"/>
        </w:rPr>
        <w:t xml:space="preserve"> – HE4) (12,22,23).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Literatura wskazuje jednak na istnienie wielu potencjalnych </w:t>
      </w:r>
      <w:proofErr w:type="spellStart"/>
      <w:r>
        <w:rPr>
          <w:rFonts w:ascii="Arial" w:eastAsia="Arial" w:hAnsi="Arial" w:cs="Arial"/>
          <w:sz w:val="24"/>
          <w:szCs w:val="24"/>
        </w:rPr>
        <w:t>biomarkerów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opartych o oznaczanie poziomu białek lub ekspresji określonych genów. Znalezienie wiarygodnych </w:t>
      </w:r>
      <w:proofErr w:type="spellStart"/>
      <w:r>
        <w:rPr>
          <w:rFonts w:ascii="Arial" w:eastAsia="Arial" w:hAnsi="Arial" w:cs="Arial"/>
          <w:sz w:val="24"/>
          <w:szCs w:val="24"/>
        </w:rPr>
        <w:t>biomarker</w:t>
      </w:r>
      <w:r>
        <w:rPr>
          <w:rFonts w:ascii="Arial" w:eastAsia="Arial" w:hAnsi="Arial" w:cs="Arial"/>
          <w:sz w:val="24"/>
          <w:szCs w:val="24"/>
        </w:rPr>
        <w:t>ów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raka jajnika odegrałoby kluczową rolę w leczeniu nowotworu jajnika, który cechuje się dużym, niezmiennym od lat poziomem śmiertelności (23).</w:t>
      </w:r>
    </w:p>
    <w:p w:rsidR="00D731B3" w:rsidRDefault="00E36E84">
      <w:pPr>
        <w:rPr>
          <w:rFonts w:ascii="Arial" w:eastAsia="Arial" w:hAnsi="Arial" w:cs="Arial"/>
          <w:sz w:val="26"/>
          <w:szCs w:val="26"/>
        </w:rPr>
      </w:pPr>
      <w:r>
        <w:br w:type="page"/>
      </w:r>
    </w:p>
    <w:p w:rsidR="00D731B3" w:rsidRDefault="00E36E84">
      <w:pPr>
        <w:rPr>
          <w:rFonts w:ascii="Arial" w:eastAsia="Arial" w:hAnsi="Arial" w:cs="Arial"/>
        </w:rPr>
      </w:pPr>
      <w:bookmarkStart w:id="10" w:name="_heading=h.2s8eyo1" w:colFirst="0" w:colLast="0"/>
      <w:bookmarkEnd w:id="10"/>
      <w:r>
        <w:rPr>
          <w:rFonts w:ascii="Arial" w:eastAsia="Arial" w:hAnsi="Arial" w:cs="Arial"/>
        </w:rPr>
        <w:lastRenderedPageBreak/>
        <w:t>1.3. CTC, a rak jajnika</w:t>
      </w:r>
    </w:p>
    <w:p w:rsidR="00D731B3" w:rsidRDefault="00E36E84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Dowiedziono, że u pacjentek z rakiem jajnika obecność CTC koreluje z brakiem odpowiedz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 na leczenie i obniżoną przeżywalnością. Dzieje się tak ze względu specyficzne cechy inwazyjnych CTC (ang.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invasive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circulating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tumor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cells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iCTC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(Rycina 3), umożliwiające komórkom przeżycie i zasiedlenie nowej niszy. Kluczową cechą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iCTC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jest tzw. „maci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erzystość”, czyli posiadanie właściwości typowych dla nowotworowych komórek macierzystych (ang.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cancer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stem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cells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CSC). Jest to przede wszystkim potencjał do samoodnowy i różnicowania w wiele typów komórek, a także odporność na chemio- i radioterapię. 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ną, wspomnianą już wcześniej cechą, wyróżniającą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iCTC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jest zdolność do przeprowadzenia procesu EMT (8,24,25). </w:t>
      </w:r>
    </w:p>
    <w:p w:rsidR="00D731B3" w:rsidRDefault="00E36E84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Literatura sugeruje, że zdolność do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przerzutowania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posiadają jedynie komórki o zwiększonym potencjale inwazyjnym. Stąd, wykorzystanie markerów um</w:t>
      </w:r>
      <w:r>
        <w:rPr>
          <w:rFonts w:ascii="Arial" w:eastAsia="Arial" w:hAnsi="Arial" w:cs="Arial"/>
          <w:color w:val="000000"/>
          <w:sz w:val="24"/>
          <w:szCs w:val="24"/>
        </w:rPr>
        <w:t>ożliwiających identyfikację tej właśnie populacji inwazyjnych CTC może stanowić przełom w diagnostyce nowotworów, monitorowaniu przerzutów nowotworowych, wyborze leczenia i ocenie skuteczności zastosowanej terapii (24,25)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1442085</wp:posOffset>
            </wp:positionV>
            <wp:extent cx="4478020" cy="2997835"/>
            <wp:effectExtent l="0" t="0" r="0" b="0"/>
            <wp:wrapSquare wrapText="bothSides" distT="0" distB="0" distL="114300" distR="114300"/>
            <wp:docPr id="1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l="26624" t="29148" r="29433" b="18370"/>
                    <a:stretch>
                      <a:fillRect/>
                    </a:stretch>
                  </pic:blipFill>
                  <pic:spPr>
                    <a:xfrm>
                      <a:off x="0" y="0"/>
                      <a:ext cx="4478020" cy="2997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31B3" w:rsidRDefault="00E36E84">
      <w:pPr>
        <w:rPr>
          <w:rFonts w:ascii="Arial" w:eastAsia="Arial" w:hAnsi="Arial" w:cs="Arial"/>
          <w:sz w:val="26"/>
          <w:szCs w:val="26"/>
          <w:highlight w:val="white"/>
        </w:rPr>
      </w:pPr>
      <w:r>
        <w:br w:type="page"/>
      </w:r>
    </w:p>
    <w:p w:rsidR="00D731B3" w:rsidRDefault="00E36E84">
      <w:pPr>
        <w:rPr>
          <w:rFonts w:ascii="Arial" w:eastAsia="Arial" w:hAnsi="Arial" w:cs="Arial"/>
        </w:rPr>
      </w:pPr>
      <w:bookmarkStart w:id="11" w:name="_heading=h.17dp8vu" w:colFirst="0" w:colLast="0"/>
      <w:bookmarkEnd w:id="11"/>
      <w:r>
        <w:rPr>
          <w:rFonts w:ascii="Arial" w:eastAsia="Arial" w:hAnsi="Arial" w:cs="Arial"/>
        </w:rPr>
        <w:lastRenderedPageBreak/>
        <w:t>2. Cel pracy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Zaplanowane badania miały na celu wykazanie czy ekspresja podjednostki beta ludzkiej gonadotropiny kosmówkowej – </w:t>
      </w:r>
      <w:proofErr w:type="spellStart"/>
      <w:r>
        <w:rPr>
          <w:rFonts w:ascii="Arial" w:eastAsia="Arial" w:hAnsi="Arial" w:cs="Arial"/>
          <w:sz w:val="24"/>
          <w:szCs w:val="24"/>
        </w:rPr>
        <w:t>hCG</w:t>
      </w:r>
      <w:proofErr w:type="spellEnd"/>
      <w:r>
        <w:rPr>
          <w:rFonts w:ascii="Arial" w:eastAsia="Arial" w:hAnsi="Arial" w:cs="Arial"/>
          <w:sz w:val="24"/>
          <w:szCs w:val="24"/>
        </w:rPr>
        <w:t>β może być markerem CTC o zwiększonym potencjale inwazyjnym izolowanych z krwi i płynu otrzewnowego pacjentek z rakiem jajnika.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Założony cel</w:t>
      </w:r>
      <w:r>
        <w:rPr>
          <w:rFonts w:ascii="Arial" w:eastAsia="Arial" w:hAnsi="Arial" w:cs="Arial"/>
          <w:sz w:val="24"/>
          <w:szCs w:val="24"/>
        </w:rPr>
        <w:t xml:space="preserve"> realizowano poprzez: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zrobić punktowanie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analizę ekspresji genów kodujących podjednostkę beta ludzkiej gonadotropiny kosmówkowej: </w:t>
      </w:r>
      <w:r>
        <w:rPr>
          <w:rFonts w:ascii="Arial" w:eastAsia="Arial" w:hAnsi="Arial" w:cs="Arial"/>
          <w:i/>
          <w:sz w:val="24"/>
          <w:szCs w:val="24"/>
        </w:rPr>
        <w:t>CGB1-2, CGB3-9;</w:t>
      </w:r>
      <w:r>
        <w:rPr>
          <w:rFonts w:ascii="Arial" w:eastAsia="Arial" w:hAnsi="Arial" w:cs="Arial"/>
          <w:sz w:val="24"/>
          <w:szCs w:val="24"/>
        </w:rPr>
        <w:t xml:space="preserve"> analizę ekspresji genów będących markerami procesu EMT: </w:t>
      </w:r>
      <w:r>
        <w:rPr>
          <w:rFonts w:ascii="Arial" w:eastAsia="Arial" w:hAnsi="Arial" w:cs="Arial"/>
          <w:i/>
          <w:sz w:val="24"/>
          <w:szCs w:val="24"/>
        </w:rPr>
        <w:t>Snai1,Snai2, MMP9, CDH1,VIM, LOXL2,CK-19</w:t>
      </w:r>
      <w:r>
        <w:rPr>
          <w:rFonts w:ascii="Arial" w:eastAsia="Arial" w:hAnsi="Arial" w:cs="Arial"/>
          <w:sz w:val="24"/>
          <w:szCs w:val="24"/>
        </w:rPr>
        <w:t>; analizę sta</w:t>
      </w:r>
      <w:r>
        <w:rPr>
          <w:rFonts w:ascii="Arial" w:eastAsia="Arial" w:hAnsi="Arial" w:cs="Arial"/>
          <w:sz w:val="24"/>
          <w:szCs w:val="24"/>
        </w:rPr>
        <w:t>tystyczną uzyskanych wyników.</w:t>
      </w:r>
    </w:p>
    <w:p w:rsidR="00D731B3" w:rsidRDefault="00E36E84">
      <w:pPr>
        <w:rPr>
          <w:rFonts w:ascii="Arial" w:eastAsia="Arial" w:hAnsi="Arial" w:cs="Arial"/>
          <w:sz w:val="28"/>
          <w:szCs w:val="28"/>
        </w:rPr>
      </w:pPr>
      <w:r>
        <w:br w:type="page"/>
      </w:r>
    </w:p>
    <w:p w:rsidR="00D731B3" w:rsidRDefault="00E36E84">
      <w:pPr>
        <w:rPr>
          <w:rFonts w:ascii="Arial" w:eastAsia="Arial" w:hAnsi="Arial" w:cs="Arial"/>
        </w:rPr>
      </w:pPr>
      <w:bookmarkStart w:id="12" w:name="_heading=h.3rdcrjn" w:colFirst="0" w:colLast="0"/>
      <w:bookmarkEnd w:id="12"/>
      <w:r>
        <w:rPr>
          <w:rFonts w:ascii="Arial" w:eastAsia="Arial" w:hAnsi="Arial" w:cs="Arial"/>
        </w:rPr>
        <w:lastRenderedPageBreak/>
        <w:t>3. Materiały i metody</w:t>
      </w:r>
    </w:p>
    <w:p w:rsidR="00D731B3" w:rsidRDefault="00E36E84">
      <w:pPr>
        <w:rPr>
          <w:rFonts w:ascii="Arial" w:eastAsia="Arial" w:hAnsi="Arial" w:cs="Arial"/>
        </w:rPr>
      </w:pPr>
      <w:bookmarkStart w:id="13" w:name="_heading=h.26in1rg" w:colFirst="0" w:colLast="0"/>
      <w:bookmarkEnd w:id="13"/>
      <w:r>
        <w:rPr>
          <w:rFonts w:ascii="Arial" w:eastAsia="Arial" w:hAnsi="Arial" w:cs="Arial"/>
        </w:rPr>
        <w:t>3.1. Materiały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prowadzonych badaniach wykorzystano materiał archiwalny Katedry i Zakładu Biologii Komórki Uniwersytetu Medycznego w Poznaniu, który stanowiło całkowite RNA wyizolowane z krwi obwodowej</w:t>
      </w:r>
      <w:r>
        <w:rPr>
          <w:rFonts w:ascii="Arial" w:eastAsia="Arial" w:hAnsi="Arial" w:cs="Arial"/>
          <w:sz w:val="24"/>
          <w:szCs w:val="24"/>
        </w:rPr>
        <w:t xml:space="preserve"> (n=16) i płynu otrzewnowego (n=12) pacjentek Oddziału Onkologii Ginekologicznej i Katedry Ginekologii, Położnictwa i Onkologii Ginekologicznej UMP leczonych z powodu surowiczego raka jajnika. </w:t>
      </w:r>
    </w:p>
    <w:p w:rsidR="00D731B3" w:rsidRDefault="00E36E84">
      <w:pPr>
        <w:rPr>
          <w:rFonts w:ascii="Arial" w:eastAsia="Arial" w:hAnsi="Arial" w:cs="Arial"/>
        </w:rPr>
      </w:pPr>
      <w:bookmarkStart w:id="14" w:name="_heading=h.lnxbz9" w:colFirst="0" w:colLast="0"/>
      <w:bookmarkEnd w:id="14"/>
      <w:r>
        <w:rPr>
          <w:rFonts w:ascii="Arial" w:eastAsia="Arial" w:hAnsi="Arial" w:cs="Arial"/>
        </w:rPr>
        <w:t>3.2. Metody</w:t>
      </w:r>
      <w:r>
        <w:rPr>
          <w:rFonts w:ascii="Arial" w:eastAsia="Arial" w:hAnsi="Arial" w:cs="Arial"/>
        </w:rPr>
        <w:tab/>
      </w:r>
    </w:p>
    <w:p w:rsidR="00D731B3" w:rsidRDefault="00E36E84">
      <w:pPr>
        <w:rPr>
          <w:rFonts w:ascii="Arial" w:eastAsia="Arial" w:hAnsi="Arial" w:cs="Arial"/>
        </w:rPr>
      </w:pPr>
      <w:bookmarkStart w:id="15" w:name="_heading=h.35nkun2" w:colFirst="0" w:colLast="0"/>
      <w:bookmarkEnd w:id="15"/>
      <w:r>
        <w:rPr>
          <w:rFonts w:ascii="Arial" w:eastAsia="Arial" w:hAnsi="Arial" w:cs="Arial"/>
        </w:rPr>
        <w:t>3.2.1. Odwrotna transkrypcja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bookmarkStart w:id="16" w:name="_heading=h.1ksv4uv" w:colFirst="0" w:colLast="0"/>
      <w:bookmarkEnd w:id="16"/>
      <w:r>
        <w:rPr>
          <w:rFonts w:ascii="Arial" w:eastAsia="Arial" w:hAnsi="Arial" w:cs="Arial"/>
          <w:sz w:val="24"/>
          <w:szCs w:val="24"/>
        </w:rPr>
        <w:t xml:space="preserve">Do syntezy </w:t>
      </w:r>
      <w:proofErr w:type="spellStart"/>
      <w:r>
        <w:rPr>
          <w:rFonts w:ascii="Arial" w:eastAsia="Arial" w:hAnsi="Arial" w:cs="Arial"/>
          <w:sz w:val="24"/>
          <w:szCs w:val="24"/>
        </w:rPr>
        <w:t>cDNA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użyt</w:t>
      </w:r>
      <w:r>
        <w:rPr>
          <w:rFonts w:ascii="Arial" w:eastAsia="Arial" w:hAnsi="Arial" w:cs="Arial"/>
          <w:sz w:val="24"/>
          <w:szCs w:val="24"/>
        </w:rPr>
        <w:t xml:space="preserve">o 1 </w:t>
      </w:r>
      <w:proofErr w:type="spellStart"/>
      <w:r>
        <w:rPr>
          <w:rFonts w:ascii="Arial" w:eastAsia="Arial" w:hAnsi="Arial" w:cs="Arial"/>
          <w:sz w:val="24"/>
          <w:szCs w:val="24"/>
        </w:rPr>
        <w:t>μg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RNA wyizolowanego z krwi obwodowej pacjentek leczonych z powodu surowiczego raka jajnika oraz uniwersalny starter </w:t>
      </w:r>
      <w:proofErr w:type="spellStart"/>
      <w:r>
        <w:rPr>
          <w:rFonts w:ascii="Arial" w:eastAsia="Arial" w:hAnsi="Arial" w:cs="Arial"/>
          <w:sz w:val="24"/>
          <w:szCs w:val="24"/>
        </w:rPr>
        <w:t>oligo</w:t>
      </w:r>
      <w:proofErr w:type="spellEnd"/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dT</w:t>
      </w:r>
      <w:proofErr w:type="spellEnd"/>
      <w:r>
        <w:rPr>
          <w:rFonts w:ascii="Arial" w:eastAsia="Arial" w:hAnsi="Arial" w:cs="Arial"/>
          <w:sz w:val="24"/>
          <w:szCs w:val="24"/>
        </w:rPr>
        <w:t>) (Roche Diagnostics). Mieszaninę reakcyjną denaturowano 10 min w temperaturze 65</w:t>
      </w:r>
      <w:r>
        <w:rPr>
          <w:rFonts w:ascii="Arial" w:eastAsia="Arial" w:hAnsi="Arial" w:cs="Arial"/>
          <w:sz w:val="24"/>
          <w:szCs w:val="24"/>
          <w:vertAlign w:val="superscript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C, po czym  schładzano na lodzie przez około 5 min. Następnie do probówki dodano mieszaninę, w skład której wchodziła: odwrotna  </w:t>
      </w:r>
      <w:proofErr w:type="spellStart"/>
      <w:r>
        <w:rPr>
          <w:rFonts w:ascii="Arial" w:eastAsia="Arial" w:hAnsi="Arial" w:cs="Arial"/>
          <w:sz w:val="24"/>
          <w:szCs w:val="24"/>
        </w:rPr>
        <w:t>transkryptaza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(</w:t>
      </w:r>
      <w:proofErr w:type="spellStart"/>
      <w:r>
        <w:rPr>
          <w:rFonts w:ascii="Arial" w:eastAsia="Arial" w:hAnsi="Arial" w:cs="Arial"/>
          <w:sz w:val="24"/>
          <w:szCs w:val="24"/>
        </w:rPr>
        <w:t>Transcriptor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Reverse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Transcriptase</w:t>
      </w:r>
      <w:proofErr w:type="spellEnd"/>
      <w:r>
        <w:rPr>
          <w:rFonts w:ascii="Arial" w:eastAsia="Arial" w:hAnsi="Arial" w:cs="Arial"/>
          <w:sz w:val="24"/>
          <w:szCs w:val="24"/>
        </w:rPr>
        <w:t>,    Roche Diagnostics), bufor do odwrotnej transkrypcji (</w:t>
      </w:r>
      <w:proofErr w:type="spellStart"/>
      <w:r>
        <w:rPr>
          <w:rFonts w:ascii="Arial" w:eastAsia="Arial" w:hAnsi="Arial" w:cs="Arial"/>
          <w:sz w:val="24"/>
          <w:szCs w:val="24"/>
        </w:rPr>
        <w:t>Transcriptor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RT </w:t>
      </w:r>
      <w:proofErr w:type="spellStart"/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uffer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Roche Diagnostics) mieszanina </w:t>
      </w:r>
      <w:proofErr w:type="spellStart"/>
      <w:r>
        <w:rPr>
          <w:rFonts w:ascii="Arial" w:eastAsia="Arial" w:hAnsi="Arial" w:cs="Arial"/>
          <w:sz w:val="24"/>
          <w:szCs w:val="24"/>
        </w:rPr>
        <w:t>deoksyrybonukleotydów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Novazym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oraz inhibitor </w:t>
      </w:r>
      <w:proofErr w:type="spellStart"/>
      <w:r>
        <w:rPr>
          <w:rFonts w:ascii="Arial" w:eastAsia="Arial" w:hAnsi="Arial" w:cs="Arial"/>
          <w:sz w:val="24"/>
          <w:szCs w:val="24"/>
        </w:rPr>
        <w:t>RNaz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</w:t>
      </w:r>
      <w:proofErr w:type="spellStart"/>
      <w:r>
        <w:rPr>
          <w:rFonts w:ascii="Arial" w:eastAsia="Arial" w:hAnsi="Arial" w:cs="Arial"/>
          <w:sz w:val="24"/>
          <w:szCs w:val="24"/>
        </w:rPr>
        <w:t>RNAsin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Protector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RNase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Inhibitor, Roche Diagnostics). Dokładny opis poszczególnych składników użytych w reakcji wraz z ich stężeniem zamieszczono w tabeli 1.</w:t>
      </w:r>
    </w:p>
    <w:p w:rsidR="00D731B3" w:rsidRDefault="00D731B3">
      <w:pPr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8789" w:type="dxa"/>
        <w:tblInd w:w="-6" w:type="dxa"/>
        <w:tblLayout w:type="fixed"/>
        <w:tblLook w:val="0400" w:firstRow="0" w:lastRow="0" w:firstColumn="0" w:lastColumn="0" w:noHBand="0" w:noVBand="1"/>
      </w:tblPr>
      <w:tblGrid>
        <w:gridCol w:w="3969"/>
        <w:gridCol w:w="1725"/>
        <w:gridCol w:w="20"/>
        <w:gridCol w:w="1516"/>
        <w:gridCol w:w="1559"/>
      </w:tblGrid>
      <w:tr w:rsidR="00D731B3">
        <w:trPr>
          <w:trHeight w:val="567"/>
        </w:trPr>
        <w:tc>
          <w:tcPr>
            <w:tcW w:w="3969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Składnik</w:t>
            </w:r>
          </w:p>
        </w:tc>
        <w:tc>
          <w:tcPr>
            <w:tcW w:w="1725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stężenie początkowe</w:t>
            </w:r>
          </w:p>
        </w:tc>
        <w:tc>
          <w:tcPr>
            <w:tcW w:w="1536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dodana ilość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stężenie końcowe</w:t>
            </w:r>
          </w:p>
        </w:tc>
      </w:tr>
      <w:tr w:rsidR="00D731B3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całkowity RNA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zmienne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zmienna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1µg</w:t>
            </w:r>
          </w:p>
        </w:tc>
      </w:tr>
      <w:tr w:rsidR="00D731B3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starter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oligo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dT</w:t>
            </w:r>
            <w:proofErr w:type="spellEnd"/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100pmol/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μl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1μl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pmol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μl</w:t>
            </w:r>
            <w:proofErr w:type="spellEnd"/>
          </w:p>
        </w:tc>
      </w:tr>
      <w:tr w:rsidR="00D731B3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bufor do odwrotnej transkrypcji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5x stęż.(2000u)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μl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1x</w:t>
            </w:r>
          </w:p>
        </w:tc>
      </w:tr>
      <w:tr w:rsidR="00D731B3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mieszanina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dNTPs</w:t>
            </w:r>
            <w:proofErr w:type="spellEnd"/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100pmol/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μl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μl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pmol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μl</w:t>
            </w:r>
            <w:proofErr w:type="spellEnd"/>
          </w:p>
        </w:tc>
      </w:tr>
      <w:tr w:rsidR="00D731B3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inhibitor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RNaz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RNase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inhibitor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 u/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μl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μl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 u</w:t>
            </w:r>
          </w:p>
        </w:tc>
      </w:tr>
      <w:tr w:rsidR="00D731B3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odwrotna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transkryptaza</w:t>
            </w:r>
            <w:proofErr w:type="spellEnd"/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2u/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μl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0,25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μl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 u</w:t>
            </w:r>
          </w:p>
        </w:tc>
      </w:tr>
      <w:tr w:rsidR="00D731B3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trike/>
                <w:sz w:val="24"/>
                <w:szCs w:val="24"/>
              </w:rPr>
            </w:pPr>
            <w:r>
              <w:rPr>
                <w:rFonts w:ascii="Arial" w:eastAsia="Arial" w:hAnsi="Arial" w:cs="Arial"/>
                <w:strike/>
                <w:sz w:val="24"/>
                <w:szCs w:val="24"/>
              </w:rPr>
              <w:t>---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zmienna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trike/>
                <w:sz w:val="24"/>
                <w:szCs w:val="24"/>
              </w:rPr>
            </w:pPr>
            <w:r>
              <w:rPr>
                <w:rFonts w:ascii="Arial" w:eastAsia="Arial" w:hAnsi="Arial" w:cs="Arial"/>
                <w:strike/>
                <w:sz w:val="24"/>
                <w:szCs w:val="24"/>
              </w:rPr>
              <w:t>---</w:t>
            </w:r>
          </w:p>
        </w:tc>
      </w:tr>
      <w:tr w:rsidR="00D731B3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całkowita objętość mieszaniny reakcyjnej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trike/>
                <w:sz w:val="24"/>
                <w:szCs w:val="24"/>
              </w:rPr>
            </w:pPr>
            <w:r>
              <w:rPr>
                <w:rFonts w:ascii="Arial" w:eastAsia="Arial" w:hAnsi="Arial" w:cs="Arial"/>
                <w:strike/>
                <w:sz w:val="24"/>
                <w:szCs w:val="24"/>
              </w:rPr>
              <w:t>---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μl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trike/>
                <w:sz w:val="24"/>
                <w:szCs w:val="24"/>
              </w:rPr>
            </w:pPr>
            <w:r>
              <w:rPr>
                <w:rFonts w:ascii="Arial" w:eastAsia="Arial" w:hAnsi="Arial" w:cs="Arial"/>
                <w:strike/>
                <w:sz w:val="24"/>
                <w:szCs w:val="24"/>
              </w:rPr>
              <w:t>---</w:t>
            </w:r>
          </w:p>
        </w:tc>
      </w:tr>
    </w:tbl>
    <w:p w:rsidR="00D731B3" w:rsidRDefault="00D731B3">
      <w:pPr>
        <w:rPr>
          <w:rFonts w:ascii="Arial" w:eastAsia="Arial" w:hAnsi="Arial" w:cs="Arial"/>
        </w:rPr>
      </w:pPr>
    </w:p>
    <w:p w:rsidR="00D731B3" w:rsidRDefault="00E36E84">
      <w:pPr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Warunki termiczne, w których została przeprowadzona odwrotna transkrypcja były następujące: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32"/>
          <w:szCs w:val="32"/>
          <w:highlight w:val="yellow"/>
        </w:rPr>
        <w:t>Zrobić numerowanie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hybrydyzacja startera: 25</w:t>
      </w:r>
      <w:r>
        <w:rPr>
          <w:rFonts w:ascii="Arial" w:eastAsia="Arial" w:hAnsi="Arial" w:cs="Arial"/>
          <w:sz w:val="24"/>
          <w:szCs w:val="24"/>
          <w:vertAlign w:val="superscript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C, 10 minut; reakcja enzymatycznej syntezy </w:t>
      </w:r>
      <w:proofErr w:type="spellStart"/>
      <w:r>
        <w:rPr>
          <w:rFonts w:ascii="Arial" w:eastAsia="Arial" w:hAnsi="Arial" w:cs="Arial"/>
          <w:sz w:val="24"/>
          <w:szCs w:val="24"/>
        </w:rPr>
        <w:t>cDNA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na matrycy RNA: 55</w:t>
      </w:r>
      <w:r>
        <w:rPr>
          <w:rFonts w:ascii="Arial" w:eastAsia="Arial" w:hAnsi="Arial" w:cs="Arial"/>
          <w:sz w:val="24"/>
          <w:szCs w:val="24"/>
          <w:vertAlign w:val="superscript"/>
        </w:rPr>
        <w:t>o</w:t>
      </w:r>
      <w:r>
        <w:rPr>
          <w:rFonts w:ascii="Arial" w:eastAsia="Arial" w:hAnsi="Arial" w:cs="Arial"/>
          <w:sz w:val="24"/>
          <w:szCs w:val="24"/>
        </w:rPr>
        <w:t>C, 30 min; inaktywacja enzymu: 85</w:t>
      </w:r>
      <w:r>
        <w:rPr>
          <w:rFonts w:ascii="Arial" w:eastAsia="Arial" w:hAnsi="Arial" w:cs="Arial"/>
          <w:sz w:val="24"/>
          <w:szCs w:val="24"/>
          <w:vertAlign w:val="superscript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C, 10 minut. 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Po z</w:t>
      </w:r>
      <w:r>
        <w:rPr>
          <w:rFonts w:ascii="Arial" w:eastAsia="Arial" w:hAnsi="Arial" w:cs="Arial"/>
          <w:sz w:val="24"/>
          <w:szCs w:val="24"/>
        </w:rPr>
        <w:t xml:space="preserve">akończeniu reakcji syntezy otrzymany </w:t>
      </w:r>
      <w:proofErr w:type="spellStart"/>
      <w:r>
        <w:rPr>
          <w:rFonts w:ascii="Arial" w:eastAsia="Arial" w:hAnsi="Arial" w:cs="Arial"/>
          <w:sz w:val="24"/>
          <w:szCs w:val="24"/>
        </w:rPr>
        <w:t>cDNA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przechowywano w temperaturze -20</w:t>
      </w:r>
      <w:r>
        <w:rPr>
          <w:rFonts w:ascii="Arial" w:eastAsia="Arial" w:hAnsi="Arial" w:cs="Arial"/>
          <w:sz w:val="24"/>
          <w:szCs w:val="24"/>
          <w:vertAlign w:val="superscript"/>
        </w:rPr>
        <w:t>o</w:t>
      </w:r>
      <w:r>
        <w:rPr>
          <w:rFonts w:ascii="Arial" w:eastAsia="Arial" w:hAnsi="Arial" w:cs="Arial"/>
          <w:sz w:val="24"/>
          <w:szCs w:val="24"/>
        </w:rPr>
        <w:t>C do momentu przygotowania reakcji PCR.</w:t>
      </w:r>
    </w:p>
    <w:p w:rsidR="00D731B3" w:rsidRDefault="00E36E84">
      <w:pPr>
        <w:rPr>
          <w:rFonts w:ascii="Arial" w:eastAsia="Arial" w:hAnsi="Arial" w:cs="Arial"/>
        </w:rPr>
      </w:pPr>
      <w:bookmarkStart w:id="17" w:name="_heading=h.44sinio" w:colFirst="0" w:colLast="0"/>
      <w:bookmarkEnd w:id="17"/>
      <w:r>
        <w:rPr>
          <w:rFonts w:ascii="Arial" w:eastAsia="Arial" w:hAnsi="Arial" w:cs="Arial"/>
        </w:rPr>
        <w:t>3.2.2. PCR w czasie rzeczywistym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</w:rPr>
        <w:t>Analiza względnego poziomu ekspresji obejmowała geny kodujące:  podjednostkę beta ludzkiej gonadotropiny kos</w:t>
      </w:r>
      <w:r>
        <w:rPr>
          <w:rFonts w:ascii="Arial" w:eastAsia="Arial" w:hAnsi="Arial" w:cs="Arial"/>
          <w:sz w:val="24"/>
          <w:szCs w:val="24"/>
        </w:rPr>
        <w:t xml:space="preserve">mówkowej (ang.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chorionic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gonadotropin beta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subunit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i/>
          <w:sz w:val="24"/>
          <w:szCs w:val="24"/>
        </w:rPr>
        <w:t>CGB</w:t>
      </w:r>
      <w:r>
        <w:rPr>
          <w:rFonts w:ascii="Arial" w:eastAsia="Arial" w:hAnsi="Arial" w:cs="Arial"/>
          <w:sz w:val="24"/>
          <w:szCs w:val="24"/>
        </w:rPr>
        <w:t>), E-</w:t>
      </w:r>
      <w:proofErr w:type="spellStart"/>
      <w:r>
        <w:rPr>
          <w:rFonts w:ascii="Arial" w:eastAsia="Arial" w:hAnsi="Arial" w:cs="Arial"/>
          <w:sz w:val="24"/>
          <w:szCs w:val="24"/>
        </w:rPr>
        <w:t>kadherynę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(ang. </w:t>
      </w:r>
      <w:r w:rsidRPr="007068B9">
        <w:rPr>
          <w:rFonts w:ascii="Arial" w:eastAsia="Arial" w:hAnsi="Arial" w:cs="Arial"/>
          <w:i/>
          <w:sz w:val="24"/>
          <w:szCs w:val="24"/>
          <w:lang w:val="en-US"/>
        </w:rPr>
        <w:t xml:space="preserve">E-cadherin 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– </w:t>
      </w:r>
      <w:r w:rsidRPr="007068B9">
        <w:rPr>
          <w:rFonts w:ascii="Arial" w:eastAsia="Arial" w:hAnsi="Arial" w:cs="Arial"/>
          <w:i/>
          <w:sz w:val="24"/>
          <w:szCs w:val="24"/>
          <w:lang w:val="en-US"/>
        </w:rPr>
        <w:t>CDH1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),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czynniki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transkrypcyjne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SNAI1 (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ang.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7068B9">
        <w:rPr>
          <w:rFonts w:ascii="Arial" w:eastAsia="Arial" w:hAnsi="Arial" w:cs="Arial"/>
          <w:i/>
          <w:sz w:val="24"/>
          <w:szCs w:val="24"/>
          <w:lang w:val="en-US"/>
        </w:rPr>
        <w:t xml:space="preserve">Snail Family Transcriptional Repressor 1 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– </w:t>
      </w:r>
      <w:r w:rsidRPr="007068B9">
        <w:rPr>
          <w:rFonts w:ascii="Arial" w:eastAsia="Arial" w:hAnsi="Arial" w:cs="Arial"/>
          <w:i/>
          <w:sz w:val="24"/>
          <w:szCs w:val="24"/>
          <w:lang w:val="en-US"/>
        </w:rPr>
        <w:t>SNAI1</w:t>
      </w:r>
      <w:r w:rsidRPr="007068B9">
        <w:rPr>
          <w:rFonts w:ascii="Arial" w:eastAsia="Arial" w:hAnsi="Arial" w:cs="Arial"/>
          <w:sz w:val="24"/>
          <w:szCs w:val="24"/>
          <w:lang w:val="en-US"/>
        </w:rPr>
        <w:t>) i SNAI2 (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ang.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7068B9">
        <w:rPr>
          <w:rFonts w:ascii="Arial" w:eastAsia="Arial" w:hAnsi="Arial" w:cs="Arial"/>
          <w:i/>
          <w:sz w:val="24"/>
          <w:szCs w:val="24"/>
          <w:lang w:val="en-US"/>
        </w:rPr>
        <w:t xml:space="preserve">Snail Family Transcriptional Repressor 2 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– </w:t>
      </w:r>
      <w:r w:rsidRPr="007068B9">
        <w:rPr>
          <w:rFonts w:ascii="Arial" w:eastAsia="Arial" w:hAnsi="Arial" w:cs="Arial"/>
          <w:i/>
          <w:sz w:val="24"/>
          <w:szCs w:val="24"/>
          <w:lang w:val="en-US"/>
        </w:rPr>
        <w:t>SNAI2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),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metaloproteinazę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9 (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ang.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7068B9">
        <w:rPr>
          <w:rFonts w:ascii="Arial" w:eastAsia="Arial" w:hAnsi="Arial" w:cs="Arial"/>
          <w:i/>
          <w:sz w:val="24"/>
          <w:szCs w:val="24"/>
          <w:lang w:val="en-US"/>
        </w:rPr>
        <w:t xml:space="preserve">Matrix Metallopeptidase 9 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– </w:t>
      </w:r>
      <w:r w:rsidRPr="007068B9">
        <w:rPr>
          <w:rFonts w:ascii="Arial" w:eastAsia="Arial" w:hAnsi="Arial" w:cs="Arial"/>
          <w:i/>
          <w:sz w:val="24"/>
          <w:szCs w:val="24"/>
          <w:lang w:val="en-US"/>
        </w:rPr>
        <w:t>MMP9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),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cytokeratynę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19 (</w:t>
      </w:r>
      <w:proofErr w:type="spellStart"/>
      <w:r w:rsidRPr="007068B9">
        <w:rPr>
          <w:rFonts w:ascii="Arial" w:eastAsia="Arial" w:hAnsi="Arial" w:cs="Arial"/>
          <w:i/>
          <w:sz w:val="24"/>
          <w:szCs w:val="24"/>
          <w:lang w:val="en-US"/>
        </w:rPr>
        <w:t>ang.</w:t>
      </w:r>
      <w:proofErr w:type="spellEnd"/>
      <w:r w:rsidRPr="007068B9">
        <w:rPr>
          <w:rFonts w:ascii="Arial" w:eastAsia="Arial" w:hAnsi="Arial" w:cs="Arial"/>
          <w:i/>
          <w:sz w:val="24"/>
          <w:szCs w:val="24"/>
          <w:lang w:val="en-US"/>
        </w:rPr>
        <w:t xml:space="preserve"> cytokeratin-19 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– </w:t>
      </w:r>
      <w:r w:rsidRPr="007068B9">
        <w:rPr>
          <w:rFonts w:ascii="Arial" w:eastAsia="Arial" w:hAnsi="Arial" w:cs="Arial"/>
          <w:i/>
          <w:sz w:val="24"/>
          <w:szCs w:val="24"/>
          <w:lang w:val="en-US"/>
        </w:rPr>
        <w:t>CK-19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),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wimentynę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(</w:t>
      </w:r>
      <w:proofErr w:type="spellStart"/>
      <w:r w:rsidRPr="007068B9">
        <w:rPr>
          <w:rFonts w:ascii="Arial" w:eastAsia="Arial" w:hAnsi="Arial" w:cs="Arial"/>
          <w:i/>
          <w:sz w:val="24"/>
          <w:szCs w:val="24"/>
          <w:lang w:val="en-US"/>
        </w:rPr>
        <w:t>ang.</w:t>
      </w:r>
      <w:proofErr w:type="spellEnd"/>
      <w:r w:rsidRPr="007068B9">
        <w:rPr>
          <w:rFonts w:ascii="Arial" w:eastAsia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7068B9">
        <w:rPr>
          <w:rFonts w:ascii="Arial" w:eastAsia="Arial" w:hAnsi="Arial" w:cs="Arial"/>
          <w:i/>
          <w:sz w:val="24"/>
          <w:szCs w:val="24"/>
          <w:lang w:val="en-US"/>
        </w:rPr>
        <w:t>Vimentin</w:t>
      </w:r>
      <w:proofErr w:type="spellEnd"/>
      <w:r w:rsidRPr="007068B9">
        <w:rPr>
          <w:rFonts w:ascii="Arial" w:eastAsia="Arial" w:hAnsi="Arial" w:cs="Arial"/>
          <w:i/>
          <w:sz w:val="24"/>
          <w:szCs w:val="24"/>
          <w:lang w:val="en-US"/>
        </w:rPr>
        <w:t xml:space="preserve"> 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– </w:t>
      </w:r>
      <w:r w:rsidRPr="007068B9">
        <w:rPr>
          <w:rFonts w:ascii="Arial" w:eastAsia="Arial" w:hAnsi="Arial" w:cs="Arial"/>
          <w:i/>
          <w:sz w:val="24"/>
          <w:szCs w:val="24"/>
          <w:lang w:val="en-US"/>
        </w:rPr>
        <w:t>VIM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),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oraz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homolog 2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oksydazy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lizylowej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(</w:t>
      </w:r>
      <w:proofErr w:type="spellStart"/>
      <w:r w:rsidRPr="007068B9">
        <w:rPr>
          <w:rFonts w:ascii="Arial" w:eastAsia="Arial" w:hAnsi="Arial" w:cs="Arial"/>
          <w:i/>
          <w:sz w:val="24"/>
          <w:szCs w:val="24"/>
          <w:lang w:val="en-US"/>
        </w:rPr>
        <w:t>ang.</w:t>
      </w:r>
      <w:proofErr w:type="spellEnd"/>
      <w:r w:rsidRPr="007068B9">
        <w:rPr>
          <w:rFonts w:ascii="Arial" w:eastAsia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7068B9">
        <w:rPr>
          <w:rFonts w:ascii="Arial" w:eastAsia="Arial" w:hAnsi="Arial" w:cs="Arial"/>
          <w:i/>
          <w:sz w:val="24"/>
          <w:szCs w:val="24"/>
          <w:lang w:val="en-US"/>
        </w:rPr>
        <w:t>lysyl</w:t>
      </w:r>
      <w:proofErr w:type="spellEnd"/>
      <w:r w:rsidRPr="007068B9">
        <w:rPr>
          <w:rFonts w:ascii="Arial" w:eastAsia="Arial" w:hAnsi="Arial" w:cs="Arial"/>
          <w:i/>
          <w:sz w:val="24"/>
          <w:szCs w:val="24"/>
          <w:lang w:val="en-US"/>
        </w:rPr>
        <w:t xml:space="preserve"> oxidase-like 2 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– </w:t>
      </w:r>
      <w:r w:rsidRPr="007068B9">
        <w:rPr>
          <w:rFonts w:ascii="Arial" w:eastAsia="Arial" w:hAnsi="Arial" w:cs="Arial"/>
          <w:i/>
          <w:sz w:val="24"/>
          <w:szCs w:val="24"/>
          <w:lang w:val="en-US"/>
        </w:rPr>
        <w:t>LOXL2</w:t>
      </w:r>
      <w:r w:rsidRPr="007068B9">
        <w:rPr>
          <w:rFonts w:ascii="Arial" w:eastAsia="Arial" w:hAnsi="Arial" w:cs="Arial"/>
          <w:sz w:val="24"/>
          <w:szCs w:val="24"/>
          <w:lang w:val="en-US"/>
        </w:rPr>
        <w:t>).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Podjednostka beta ludzkiej gonadotropiny k</w:t>
      </w:r>
      <w:r>
        <w:rPr>
          <w:rFonts w:ascii="Arial" w:eastAsia="Arial" w:hAnsi="Arial" w:cs="Arial"/>
          <w:sz w:val="24"/>
          <w:szCs w:val="24"/>
        </w:rPr>
        <w:t xml:space="preserve">osmówkowej kodowana jest przez osiem </w:t>
      </w:r>
      <w:proofErr w:type="spellStart"/>
      <w:r>
        <w:rPr>
          <w:rFonts w:ascii="Arial" w:eastAsia="Arial" w:hAnsi="Arial" w:cs="Arial"/>
          <w:sz w:val="24"/>
          <w:szCs w:val="24"/>
        </w:rPr>
        <w:t>allelicznych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genów </w:t>
      </w:r>
      <w:r>
        <w:rPr>
          <w:rFonts w:ascii="Arial" w:eastAsia="Arial" w:hAnsi="Arial" w:cs="Arial"/>
          <w:i/>
          <w:sz w:val="24"/>
          <w:szCs w:val="24"/>
        </w:rPr>
        <w:t>CGB: CGB1, CGB2, CGB3, CGB5, CGB6, CGB7, CGB, CGB9</w:t>
      </w:r>
      <w:r>
        <w:rPr>
          <w:rFonts w:ascii="Arial" w:eastAsia="Arial" w:hAnsi="Arial" w:cs="Arial"/>
          <w:sz w:val="24"/>
          <w:szCs w:val="24"/>
        </w:rPr>
        <w:t xml:space="preserve">. Geny </w:t>
      </w:r>
      <w:r>
        <w:rPr>
          <w:rFonts w:ascii="Arial" w:eastAsia="Arial" w:hAnsi="Arial" w:cs="Arial"/>
          <w:i/>
          <w:sz w:val="24"/>
          <w:szCs w:val="24"/>
        </w:rPr>
        <w:t>CGB1</w:t>
      </w:r>
      <w:r>
        <w:rPr>
          <w:rFonts w:ascii="Arial" w:eastAsia="Arial" w:hAnsi="Arial" w:cs="Arial"/>
          <w:sz w:val="24"/>
          <w:szCs w:val="24"/>
        </w:rPr>
        <w:t xml:space="preserve"> i </w:t>
      </w:r>
      <w:r>
        <w:rPr>
          <w:rFonts w:ascii="Arial" w:eastAsia="Arial" w:hAnsi="Arial" w:cs="Arial"/>
          <w:i/>
          <w:sz w:val="24"/>
          <w:szCs w:val="24"/>
        </w:rPr>
        <w:t>CGB2</w:t>
      </w:r>
      <w:r>
        <w:rPr>
          <w:rFonts w:ascii="Arial" w:eastAsia="Arial" w:hAnsi="Arial" w:cs="Arial"/>
          <w:sz w:val="24"/>
          <w:szCs w:val="24"/>
        </w:rPr>
        <w:t xml:space="preserve"> uważane do niedawna za pseudogeny charakteryzuje ekspresja tysiąc razy niższa niż pozostałe geny </w:t>
      </w:r>
      <w:r>
        <w:rPr>
          <w:rFonts w:ascii="Arial" w:eastAsia="Arial" w:hAnsi="Arial" w:cs="Arial"/>
          <w:i/>
          <w:sz w:val="24"/>
          <w:szCs w:val="24"/>
        </w:rPr>
        <w:t xml:space="preserve">CGB </w:t>
      </w:r>
      <w:r>
        <w:rPr>
          <w:rFonts w:ascii="Arial" w:eastAsia="Arial" w:hAnsi="Arial" w:cs="Arial"/>
          <w:sz w:val="24"/>
          <w:szCs w:val="24"/>
        </w:rPr>
        <w:t>(32,41). Dlatego ekspresja gen</w:t>
      </w:r>
      <w:r>
        <w:rPr>
          <w:rFonts w:ascii="Arial" w:eastAsia="Arial" w:hAnsi="Arial" w:cs="Arial"/>
          <w:sz w:val="24"/>
          <w:szCs w:val="24"/>
        </w:rPr>
        <w:t xml:space="preserve">ów kodujących </w:t>
      </w:r>
      <w:proofErr w:type="spellStart"/>
      <w:r>
        <w:rPr>
          <w:rFonts w:ascii="Arial" w:eastAsia="Arial" w:hAnsi="Arial" w:cs="Arial"/>
          <w:sz w:val="24"/>
          <w:szCs w:val="24"/>
        </w:rPr>
        <w:t>hCG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β badana była w dwóch odrębnych esejach: </w:t>
      </w:r>
      <w:r>
        <w:rPr>
          <w:rFonts w:ascii="Arial" w:eastAsia="Arial" w:hAnsi="Arial" w:cs="Arial"/>
          <w:i/>
          <w:sz w:val="24"/>
          <w:szCs w:val="24"/>
        </w:rPr>
        <w:t>CGB1-2</w:t>
      </w:r>
      <w:r>
        <w:rPr>
          <w:rFonts w:ascii="Arial" w:eastAsia="Arial" w:hAnsi="Arial" w:cs="Arial"/>
          <w:sz w:val="24"/>
          <w:szCs w:val="24"/>
        </w:rPr>
        <w:t xml:space="preserve"> oraz </w:t>
      </w:r>
      <w:r>
        <w:rPr>
          <w:rFonts w:ascii="Arial" w:eastAsia="Arial" w:hAnsi="Arial" w:cs="Arial"/>
          <w:i/>
          <w:sz w:val="24"/>
          <w:szCs w:val="24"/>
        </w:rPr>
        <w:t>CGB3-9</w:t>
      </w:r>
      <w:r>
        <w:rPr>
          <w:rFonts w:ascii="Arial" w:eastAsia="Arial" w:hAnsi="Arial" w:cs="Arial"/>
          <w:sz w:val="24"/>
          <w:szCs w:val="24"/>
        </w:rPr>
        <w:t>. 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 matrycę do reakcji </w:t>
      </w:r>
      <w:proofErr w:type="spellStart"/>
      <w:r>
        <w:rPr>
          <w:rFonts w:ascii="Arial" w:eastAsia="Arial" w:hAnsi="Arial" w:cs="Arial"/>
          <w:sz w:val="24"/>
          <w:szCs w:val="24"/>
        </w:rPr>
        <w:t>qPCR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posłużyło </w:t>
      </w:r>
      <w:proofErr w:type="spellStart"/>
      <w:r>
        <w:rPr>
          <w:rFonts w:ascii="Arial" w:eastAsia="Arial" w:hAnsi="Arial" w:cs="Arial"/>
          <w:sz w:val="24"/>
          <w:szCs w:val="24"/>
        </w:rPr>
        <w:t>cDNA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uzyskane w reakcji odwrotnej transkrypcji. W reakcji użyto starterów specyficznych genowo. </w:t>
      </w:r>
    </w:p>
    <w:p w:rsidR="00D731B3" w:rsidRDefault="00E36E84">
      <w:pPr>
        <w:rPr>
          <w:rFonts w:ascii="Arial" w:eastAsia="Arial" w:hAnsi="Arial" w:cs="Arial"/>
        </w:rPr>
      </w:pPr>
      <w:bookmarkStart w:id="18" w:name="_heading=h.2jxsxqh" w:colFirst="0" w:colLast="0"/>
      <w:bookmarkEnd w:id="18"/>
      <w:r>
        <w:rPr>
          <w:rFonts w:ascii="Arial" w:eastAsia="Arial" w:hAnsi="Arial" w:cs="Arial"/>
        </w:rPr>
        <w:t xml:space="preserve">3.2.3. Startery  używane  do reakcji   </w:t>
      </w:r>
      <w:proofErr w:type="spellStart"/>
      <w:r>
        <w:rPr>
          <w:rFonts w:ascii="Arial" w:eastAsia="Arial" w:hAnsi="Arial" w:cs="Arial"/>
        </w:rPr>
        <w:t>qPCR</w:t>
      </w:r>
      <w:proofErr w:type="spellEnd"/>
      <w:r>
        <w:rPr>
          <w:rFonts w:ascii="Arial" w:eastAsia="Arial" w:hAnsi="Arial" w:cs="Arial"/>
        </w:rPr>
        <w:t xml:space="preserve"> 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Względny poziom ekspresji  genów: </w:t>
      </w:r>
      <w:r>
        <w:rPr>
          <w:rFonts w:ascii="Arial" w:eastAsia="Arial" w:hAnsi="Arial" w:cs="Arial"/>
          <w:i/>
          <w:sz w:val="24"/>
          <w:szCs w:val="24"/>
        </w:rPr>
        <w:t>LOXL2, SNAI1, SNAI2</w:t>
      </w:r>
      <w:r>
        <w:rPr>
          <w:rFonts w:ascii="Arial" w:eastAsia="Arial" w:hAnsi="Arial" w:cs="Arial"/>
          <w:sz w:val="24"/>
          <w:szCs w:val="24"/>
        </w:rPr>
        <w:t xml:space="preserve"> i </w:t>
      </w:r>
      <w:r>
        <w:rPr>
          <w:rFonts w:ascii="Arial" w:eastAsia="Arial" w:hAnsi="Arial" w:cs="Arial"/>
          <w:i/>
          <w:sz w:val="24"/>
          <w:szCs w:val="24"/>
        </w:rPr>
        <w:t xml:space="preserve">MMP9 </w:t>
      </w:r>
      <w:r>
        <w:rPr>
          <w:rFonts w:ascii="Arial" w:eastAsia="Arial" w:hAnsi="Arial" w:cs="Arial"/>
          <w:sz w:val="24"/>
          <w:szCs w:val="24"/>
        </w:rPr>
        <w:t xml:space="preserve">oceniany był w reakcji </w:t>
      </w:r>
      <w:proofErr w:type="spellStart"/>
      <w:r>
        <w:rPr>
          <w:rFonts w:ascii="Arial" w:eastAsia="Arial" w:hAnsi="Arial" w:cs="Arial"/>
          <w:sz w:val="24"/>
          <w:szCs w:val="24"/>
        </w:rPr>
        <w:t>qPCR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 wykorzystaniem </w:t>
      </w:r>
      <w:proofErr w:type="spellStart"/>
      <w:r>
        <w:rPr>
          <w:rFonts w:ascii="Arial" w:eastAsia="Arial" w:hAnsi="Arial" w:cs="Arial"/>
          <w:sz w:val="24"/>
          <w:szCs w:val="24"/>
        </w:rPr>
        <w:t>fluorochromu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SybrGreen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I. Poziom   ekspresji   tych genów porównywano do ekspresji genu metabolizmu podst</w:t>
      </w:r>
      <w:r>
        <w:rPr>
          <w:rFonts w:ascii="Arial" w:eastAsia="Arial" w:hAnsi="Arial" w:cs="Arial"/>
          <w:sz w:val="24"/>
          <w:szCs w:val="24"/>
        </w:rPr>
        <w:t xml:space="preserve">awowego – </w:t>
      </w:r>
      <w:r>
        <w:rPr>
          <w:rFonts w:ascii="Arial" w:eastAsia="Arial" w:hAnsi="Arial" w:cs="Arial"/>
          <w:i/>
          <w:sz w:val="24"/>
          <w:szCs w:val="24"/>
        </w:rPr>
        <w:t>HPRT</w:t>
      </w:r>
      <w:r>
        <w:rPr>
          <w:rFonts w:ascii="Arial" w:eastAsia="Arial" w:hAnsi="Arial" w:cs="Arial"/>
          <w:sz w:val="24"/>
          <w:szCs w:val="24"/>
        </w:rPr>
        <w:t xml:space="preserve"> (kodującego </w:t>
      </w:r>
      <w:proofErr w:type="spellStart"/>
      <w:r>
        <w:rPr>
          <w:rFonts w:ascii="Arial" w:eastAsia="Arial" w:hAnsi="Arial" w:cs="Arial"/>
          <w:sz w:val="24"/>
          <w:szCs w:val="24"/>
        </w:rPr>
        <w:t>fosforybozylotransferazę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hipoksantynowo-guaninową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mierzonej z zastosowaniem tej samej techniki. 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Ekspresję genów </w:t>
      </w:r>
      <w:r>
        <w:rPr>
          <w:rFonts w:ascii="Arial" w:eastAsia="Arial" w:hAnsi="Arial" w:cs="Arial"/>
          <w:i/>
          <w:sz w:val="24"/>
          <w:szCs w:val="24"/>
        </w:rPr>
        <w:t>CGB1-2, CGB3-9, CDH1 CK-19,</w:t>
      </w:r>
      <w:r>
        <w:rPr>
          <w:rFonts w:ascii="Arial" w:eastAsia="Arial" w:hAnsi="Arial" w:cs="Arial"/>
          <w:sz w:val="24"/>
          <w:szCs w:val="24"/>
        </w:rPr>
        <w:t xml:space="preserve">oraz </w:t>
      </w:r>
      <w:r>
        <w:rPr>
          <w:rFonts w:ascii="Arial" w:eastAsia="Arial" w:hAnsi="Arial" w:cs="Arial"/>
          <w:i/>
          <w:sz w:val="24"/>
          <w:szCs w:val="24"/>
        </w:rPr>
        <w:t xml:space="preserve">VIM </w:t>
      </w:r>
      <w:r>
        <w:rPr>
          <w:rFonts w:ascii="Arial" w:eastAsia="Arial" w:hAnsi="Arial" w:cs="Arial"/>
          <w:sz w:val="24"/>
          <w:szCs w:val="24"/>
        </w:rPr>
        <w:t xml:space="preserve">analizowano w reakcji </w:t>
      </w:r>
      <w:proofErr w:type="spellStart"/>
      <w:r>
        <w:rPr>
          <w:rFonts w:ascii="Arial" w:eastAsia="Arial" w:hAnsi="Arial" w:cs="Arial"/>
          <w:sz w:val="24"/>
          <w:szCs w:val="24"/>
        </w:rPr>
        <w:t>qPCR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 wykorzystaniem specyficznych sond i również porówn</w:t>
      </w:r>
      <w:r>
        <w:rPr>
          <w:rFonts w:ascii="Arial" w:eastAsia="Arial" w:hAnsi="Arial" w:cs="Arial"/>
          <w:sz w:val="24"/>
          <w:szCs w:val="24"/>
        </w:rPr>
        <w:t xml:space="preserve">ywano z poziomem ekspresji genu referencyjnego </w:t>
      </w:r>
      <w:r>
        <w:rPr>
          <w:rFonts w:ascii="Arial" w:eastAsia="Arial" w:hAnsi="Arial" w:cs="Arial"/>
          <w:i/>
          <w:sz w:val="24"/>
          <w:szCs w:val="24"/>
        </w:rPr>
        <w:t>HPRT</w:t>
      </w:r>
      <w:r>
        <w:rPr>
          <w:rFonts w:ascii="Arial" w:eastAsia="Arial" w:hAnsi="Arial" w:cs="Arial"/>
          <w:sz w:val="24"/>
          <w:szCs w:val="24"/>
        </w:rPr>
        <w:t xml:space="preserve">, którego poziom oceniano stosując odpowiednią sondę. 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Reakcje przygotowano z wykorzystaniem zestawów: </w:t>
      </w:r>
      <w:proofErr w:type="spellStart"/>
      <w:r>
        <w:rPr>
          <w:rFonts w:ascii="Arial" w:eastAsia="Arial" w:hAnsi="Arial" w:cs="Arial"/>
          <w:sz w:val="24"/>
          <w:szCs w:val="24"/>
        </w:rPr>
        <w:t>LightCycler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® </w:t>
      </w:r>
      <w:proofErr w:type="spellStart"/>
      <w:r>
        <w:rPr>
          <w:rFonts w:ascii="Arial" w:eastAsia="Arial" w:hAnsi="Arial" w:cs="Arial"/>
          <w:sz w:val="24"/>
          <w:szCs w:val="24"/>
        </w:rPr>
        <w:t>FastStart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DNA Master SYBR Green I oraz i The </w:t>
      </w:r>
      <w:proofErr w:type="spellStart"/>
      <w:r>
        <w:rPr>
          <w:rFonts w:ascii="Arial" w:eastAsia="Arial" w:hAnsi="Arial" w:cs="Arial"/>
          <w:sz w:val="24"/>
          <w:szCs w:val="24"/>
        </w:rPr>
        <w:t>LightCycler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® </w:t>
      </w:r>
      <w:proofErr w:type="spellStart"/>
      <w:r>
        <w:rPr>
          <w:rFonts w:ascii="Arial" w:eastAsia="Arial" w:hAnsi="Arial" w:cs="Arial"/>
          <w:sz w:val="24"/>
          <w:szCs w:val="24"/>
        </w:rPr>
        <w:t>TaqMan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® Master (Roche </w:t>
      </w:r>
      <w:proofErr w:type="spellStart"/>
      <w:r>
        <w:rPr>
          <w:rFonts w:ascii="Arial" w:eastAsia="Arial" w:hAnsi="Arial" w:cs="Arial"/>
          <w:sz w:val="24"/>
          <w:szCs w:val="24"/>
        </w:rPr>
        <w:t>Diagnosti</w:t>
      </w:r>
      <w:r>
        <w:rPr>
          <w:rFonts w:ascii="Arial" w:eastAsia="Arial" w:hAnsi="Arial" w:cs="Arial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sz w:val="24"/>
          <w:szCs w:val="24"/>
        </w:rPr>
        <w:t>).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bookmarkStart w:id="19" w:name="_heading=h.z337ya" w:colFirst="0" w:colLast="0"/>
      <w:bookmarkEnd w:id="19"/>
      <w:r>
        <w:rPr>
          <w:rFonts w:ascii="Arial" w:eastAsia="Arial" w:hAnsi="Arial" w:cs="Arial"/>
          <w:sz w:val="24"/>
          <w:szCs w:val="24"/>
        </w:rPr>
        <w:t xml:space="preserve">Dla każdego z badanych genów wyznaczono krzywą wzorcową, określającą wydajność reakcji w danych warunkach. Krzywe wzorcowe dla poszczególnych genów określano na podstawie reakcji </w:t>
      </w:r>
      <w:proofErr w:type="spellStart"/>
      <w:r>
        <w:rPr>
          <w:rFonts w:ascii="Arial" w:eastAsia="Arial" w:hAnsi="Arial" w:cs="Arial"/>
          <w:sz w:val="24"/>
          <w:szCs w:val="24"/>
        </w:rPr>
        <w:t>qPCR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w których matrycę stanowiły dziesiętne rozcieńczenia </w:t>
      </w:r>
      <w:proofErr w:type="spellStart"/>
      <w:r>
        <w:rPr>
          <w:rFonts w:ascii="Arial" w:eastAsia="Arial" w:hAnsi="Arial" w:cs="Arial"/>
          <w:sz w:val="24"/>
          <w:szCs w:val="24"/>
        </w:rPr>
        <w:t>cDNA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(w zakres</w:t>
      </w:r>
      <w:r>
        <w:rPr>
          <w:rFonts w:ascii="Arial" w:eastAsia="Arial" w:hAnsi="Arial" w:cs="Arial"/>
          <w:sz w:val="24"/>
          <w:szCs w:val="24"/>
        </w:rPr>
        <w:t xml:space="preserve">ie 1:1 do 1:10000) sporządzonego na bazie RNA pochodzącego z łożyska. Wszystkie reakcje prowadzono na </w:t>
      </w:r>
      <w:proofErr w:type="spellStart"/>
      <w:r>
        <w:rPr>
          <w:rFonts w:ascii="Arial" w:eastAsia="Arial" w:hAnsi="Arial" w:cs="Arial"/>
          <w:sz w:val="24"/>
          <w:szCs w:val="24"/>
        </w:rPr>
        <w:t>termocyklerze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LightCycler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2.0 (Roche Diagnostics). Warunki i profil temperaturowy reakcji z użyciem </w:t>
      </w:r>
      <w:proofErr w:type="spellStart"/>
      <w:r>
        <w:rPr>
          <w:rFonts w:ascii="Arial" w:eastAsia="Arial" w:hAnsi="Arial" w:cs="Arial"/>
          <w:sz w:val="24"/>
          <w:szCs w:val="24"/>
        </w:rPr>
        <w:t>SybrGreen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przedstawiają tabele 2 i 3, natomiast warunk</w:t>
      </w:r>
      <w:r>
        <w:rPr>
          <w:rFonts w:ascii="Arial" w:eastAsia="Arial" w:hAnsi="Arial" w:cs="Arial"/>
          <w:sz w:val="24"/>
          <w:szCs w:val="24"/>
        </w:rPr>
        <w:t xml:space="preserve">i reakcji z użyciem sond hydrolizujących przedstawiają tabele 4 i 5. Sekwencje starterów zastosowanych w reakcjach </w:t>
      </w:r>
      <w:proofErr w:type="spellStart"/>
      <w:r>
        <w:rPr>
          <w:rFonts w:ascii="Arial" w:eastAsia="Arial" w:hAnsi="Arial" w:cs="Arial"/>
          <w:sz w:val="24"/>
          <w:szCs w:val="24"/>
        </w:rPr>
        <w:t>qPCR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podano w tabeli 6.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D731B3" w:rsidRDefault="00D731B3">
      <w:pPr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8789" w:type="dxa"/>
        <w:tblInd w:w="-6" w:type="dxa"/>
        <w:tblLayout w:type="fixed"/>
        <w:tblLook w:val="0400" w:firstRow="0" w:lastRow="0" w:firstColumn="0" w:lastColumn="0" w:noHBand="0" w:noVBand="1"/>
      </w:tblPr>
      <w:tblGrid>
        <w:gridCol w:w="3969"/>
        <w:gridCol w:w="1725"/>
        <w:gridCol w:w="20"/>
        <w:gridCol w:w="1516"/>
        <w:gridCol w:w="1559"/>
      </w:tblGrid>
      <w:tr w:rsidR="00D731B3">
        <w:trPr>
          <w:trHeight w:val="567"/>
        </w:trPr>
        <w:tc>
          <w:tcPr>
            <w:tcW w:w="3969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Składnik</w:t>
            </w:r>
          </w:p>
        </w:tc>
        <w:tc>
          <w:tcPr>
            <w:tcW w:w="1725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stężenie początkowe</w:t>
            </w:r>
          </w:p>
        </w:tc>
        <w:tc>
          <w:tcPr>
            <w:tcW w:w="1536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dodana ilość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stężenie końcowe</w:t>
            </w:r>
          </w:p>
        </w:tc>
      </w:tr>
      <w:tr w:rsidR="00D731B3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cDNA</w:t>
            </w:r>
            <w:proofErr w:type="spellEnd"/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trike/>
                <w:sz w:val="24"/>
                <w:szCs w:val="24"/>
              </w:rPr>
              <w:t>---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1,5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μl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trike/>
                <w:sz w:val="24"/>
                <w:szCs w:val="24"/>
              </w:rPr>
              <w:t>---</w:t>
            </w:r>
          </w:p>
        </w:tc>
      </w:tr>
      <w:tr w:rsidR="00D731B3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mieszanina starterów sensowych i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antysensowych</w:t>
            </w:r>
            <w:proofErr w:type="spellEnd"/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5pmol/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μl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1μl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pmol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μl</w:t>
            </w:r>
            <w:proofErr w:type="spellEnd"/>
          </w:p>
        </w:tc>
      </w:tr>
      <w:tr w:rsidR="00D731B3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jony Mg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25mmol/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μl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0,6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μl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15mmol/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μl</w:t>
            </w:r>
            <w:proofErr w:type="spellEnd"/>
          </w:p>
        </w:tc>
      </w:tr>
      <w:tr w:rsidR="00D731B3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mieszanina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Light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Cycler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FastStart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DNA zawierająca polimerazę,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SybrGreen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dNTPs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MgCl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10x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μl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1x</w:t>
            </w:r>
          </w:p>
        </w:tc>
      </w:tr>
      <w:tr w:rsidR="00D731B3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inhibitor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RNaz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RNase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inhibitor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 u/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μl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μl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 u</w:t>
            </w:r>
          </w:p>
        </w:tc>
      </w:tr>
      <w:tr w:rsidR="00D731B3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trike/>
                <w:sz w:val="24"/>
                <w:szCs w:val="24"/>
              </w:rPr>
            </w:pPr>
            <w:r>
              <w:rPr>
                <w:rFonts w:ascii="Arial" w:eastAsia="Arial" w:hAnsi="Arial" w:cs="Arial"/>
                <w:strike/>
                <w:sz w:val="24"/>
                <w:szCs w:val="24"/>
              </w:rPr>
              <w:t>---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3,5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μl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trike/>
                <w:sz w:val="24"/>
                <w:szCs w:val="24"/>
              </w:rPr>
            </w:pPr>
            <w:r>
              <w:rPr>
                <w:rFonts w:ascii="Arial" w:eastAsia="Arial" w:hAnsi="Arial" w:cs="Arial"/>
                <w:strike/>
                <w:sz w:val="24"/>
                <w:szCs w:val="24"/>
              </w:rPr>
              <w:t>---</w:t>
            </w:r>
          </w:p>
        </w:tc>
      </w:tr>
      <w:tr w:rsidR="00D731B3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całkowita objętość mieszaniny reakcyjnej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trike/>
                <w:sz w:val="24"/>
                <w:szCs w:val="24"/>
              </w:rPr>
            </w:pPr>
            <w:r>
              <w:rPr>
                <w:rFonts w:ascii="Arial" w:eastAsia="Arial" w:hAnsi="Arial" w:cs="Arial"/>
                <w:strike/>
                <w:sz w:val="24"/>
                <w:szCs w:val="24"/>
              </w:rPr>
              <w:t>---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μl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trike/>
                <w:sz w:val="24"/>
                <w:szCs w:val="24"/>
              </w:rPr>
            </w:pPr>
            <w:r>
              <w:rPr>
                <w:rFonts w:ascii="Arial" w:eastAsia="Arial" w:hAnsi="Arial" w:cs="Arial"/>
                <w:strike/>
                <w:sz w:val="24"/>
                <w:szCs w:val="24"/>
              </w:rPr>
              <w:t>---</w:t>
            </w:r>
          </w:p>
        </w:tc>
      </w:tr>
    </w:tbl>
    <w:p w:rsidR="00D731B3" w:rsidRDefault="00D731B3">
      <w:pPr>
        <w:rPr>
          <w:rFonts w:ascii="Arial" w:eastAsia="Arial" w:hAnsi="Arial" w:cs="Arial"/>
          <w:sz w:val="24"/>
          <w:szCs w:val="24"/>
        </w:rPr>
      </w:pPr>
    </w:p>
    <w:p w:rsidR="00D731B3" w:rsidRDefault="00D731B3">
      <w:pPr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8788" w:type="dxa"/>
        <w:tblInd w:w="-6" w:type="dxa"/>
        <w:tblLayout w:type="fixed"/>
        <w:tblLook w:val="0400" w:firstRow="0" w:lastRow="0" w:firstColumn="0" w:lastColumn="0" w:noHBand="0" w:noVBand="1"/>
      </w:tblPr>
      <w:tblGrid>
        <w:gridCol w:w="1469"/>
        <w:gridCol w:w="1617"/>
        <w:gridCol w:w="1096"/>
        <w:gridCol w:w="1090"/>
        <w:gridCol w:w="1091"/>
        <w:gridCol w:w="1093"/>
        <w:gridCol w:w="1332"/>
      </w:tblGrid>
      <w:tr w:rsidR="00D731B3">
        <w:trPr>
          <w:trHeight w:val="298"/>
        </w:trPr>
        <w:tc>
          <w:tcPr>
            <w:tcW w:w="308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Etap</w:t>
            </w:r>
          </w:p>
        </w:tc>
        <w:tc>
          <w:tcPr>
            <w:tcW w:w="437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warunki reakcji w poszczególnych etapach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liczba cykli</w:t>
            </w:r>
          </w:p>
        </w:tc>
      </w:tr>
      <w:tr w:rsidR="00D731B3">
        <w:trPr>
          <w:trHeight w:val="297"/>
        </w:trPr>
        <w:tc>
          <w:tcPr>
            <w:tcW w:w="308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D731B3" w:rsidRDefault="00D73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31B3" w:rsidRDefault="00E36E8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CGB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SNAI2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31B3" w:rsidRDefault="00E36E8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MMP9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31B3" w:rsidRDefault="00E36E8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HPRT</w:t>
            </w:r>
          </w:p>
        </w:tc>
        <w:tc>
          <w:tcPr>
            <w:tcW w:w="1332" w:type="dxa"/>
            <w:vMerge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D731B3" w:rsidRDefault="00D73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D731B3">
        <w:trPr>
          <w:trHeight w:val="567"/>
        </w:trPr>
        <w:tc>
          <w:tcPr>
            <w:tcW w:w="3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preinkubacja</w:t>
            </w:r>
            <w:proofErr w:type="spellEnd"/>
          </w:p>
        </w:tc>
        <w:tc>
          <w:tcPr>
            <w:tcW w:w="43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95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C, 10 min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731B3">
        <w:trPr>
          <w:trHeight w:val="119"/>
        </w:trPr>
        <w:tc>
          <w:tcPr>
            <w:tcW w:w="1470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amplifikacja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denaturacja</w:t>
            </w:r>
          </w:p>
        </w:tc>
        <w:tc>
          <w:tcPr>
            <w:tcW w:w="43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95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C, 10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sek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</w:tr>
      <w:tr w:rsidR="00D731B3">
        <w:trPr>
          <w:trHeight w:val="119"/>
        </w:trPr>
        <w:tc>
          <w:tcPr>
            <w:tcW w:w="147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D731B3" w:rsidRDefault="00D73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nil"/>
              <w:right w:val="single" w:sz="4" w:space="0" w:color="000000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hybrydyzacja starterów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C, 5s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54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C, 5s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C, 5s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54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C, 5s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D731B3" w:rsidRDefault="00D73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31B3">
        <w:trPr>
          <w:trHeight w:val="119"/>
        </w:trPr>
        <w:tc>
          <w:tcPr>
            <w:tcW w:w="147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D731B3" w:rsidRDefault="00D73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nil"/>
              <w:right w:val="single" w:sz="4" w:space="0" w:color="000000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elongacja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72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C, 8s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72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C, 9s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72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C, 8s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72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C, 9s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D731B3" w:rsidRDefault="00D73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31B3">
        <w:trPr>
          <w:trHeight w:val="119"/>
        </w:trPr>
        <w:tc>
          <w:tcPr>
            <w:tcW w:w="147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D731B3" w:rsidRDefault="00D73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pomiar fluorescencji</w:t>
            </w:r>
          </w:p>
        </w:tc>
        <w:tc>
          <w:tcPr>
            <w:tcW w:w="43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88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C, 2s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D731B3" w:rsidRDefault="00D73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31B3">
        <w:trPr>
          <w:trHeight w:val="567"/>
        </w:trPr>
        <w:tc>
          <w:tcPr>
            <w:tcW w:w="3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krzywa topnienia</w:t>
            </w:r>
          </w:p>
        </w:tc>
        <w:tc>
          <w:tcPr>
            <w:tcW w:w="43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 65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 do 95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731B3">
        <w:trPr>
          <w:trHeight w:val="567"/>
        </w:trPr>
        <w:tc>
          <w:tcPr>
            <w:tcW w:w="3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chłodzenie</w:t>
            </w:r>
          </w:p>
        </w:tc>
        <w:tc>
          <w:tcPr>
            <w:tcW w:w="43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C, 30s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</w:tbl>
    <w:p w:rsidR="00D731B3" w:rsidRDefault="00D731B3">
      <w:pPr>
        <w:rPr>
          <w:rFonts w:ascii="Arial" w:eastAsia="Arial" w:hAnsi="Arial" w:cs="Arial"/>
          <w:sz w:val="24"/>
          <w:szCs w:val="24"/>
        </w:rPr>
      </w:pP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D731B3" w:rsidRDefault="00D731B3">
      <w:pPr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8364" w:type="dxa"/>
        <w:tblInd w:w="-6" w:type="dxa"/>
        <w:tblLayout w:type="fixed"/>
        <w:tblLook w:val="0400" w:firstRow="0" w:lastRow="0" w:firstColumn="0" w:lastColumn="0" w:noHBand="0" w:noVBand="1"/>
      </w:tblPr>
      <w:tblGrid>
        <w:gridCol w:w="3969"/>
        <w:gridCol w:w="4395"/>
      </w:tblGrid>
      <w:tr w:rsidR="00D731B3">
        <w:trPr>
          <w:trHeight w:val="567"/>
        </w:trPr>
        <w:tc>
          <w:tcPr>
            <w:tcW w:w="3969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Składnik</w:t>
            </w:r>
          </w:p>
        </w:tc>
        <w:tc>
          <w:tcPr>
            <w:tcW w:w="4395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stężenie końcowe</w:t>
            </w:r>
          </w:p>
        </w:tc>
      </w:tr>
      <w:tr w:rsidR="00D731B3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cDNA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μl</w:t>
            </w:r>
            <w:proofErr w:type="spellEnd"/>
          </w:p>
        </w:tc>
      </w:tr>
      <w:tr w:rsidR="00D731B3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mieszanina starterów sensowych i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antysensowych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pmol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μl</w:t>
            </w:r>
            <w:proofErr w:type="spellEnd"/>
          </w:p>
        </w:tc>
      </w:tr>
      <w:tr w:rsidR="00D731B3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sonda hydrolizująca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0,1μM</w:t>
            </w:r>
          </w:p>
        </w:tc>
      </w:tr>
      <w:tr w:rsidR="00D731B3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mieszanina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LightCycler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FastStart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TaqMan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Reaction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 Mix zawierająca polimerazę,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dNTPs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MgCl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1x</w:t>
            </w:r>
          </w:p>
        </w:tc>
      </w:tr>
      <w:tr w:rsidR="00D731B3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dopełnione do objętości 20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μl</w:t>
            </w:r>
            <w:proofErr w:type="spellEnd"/>
          </w:p>
        </w:tc>
      </w:tr>
      <w:tr w:rsidR="00D731B3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całkowita objętość mieszaniny reakcyjnej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31B3" w:rsidRDefault="00E36E84">
            <w:pPr>
              <w:rPr>
                <w:rFonts w:ascii="Arial" w:eastAsia="Arial" w:hAnsi="Arial" w:cs="Arial"/>
                <w:strike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μl</w:t>
            </w:r>
            <w:proofErr w:type="spellEnd"/>
          </w:p>
        </w:tc>
      </w:tr>
    </w:tbl>
    <w:p w:rsidR="00D731B3" w:rsidRDefault="00D731B3">
      <w:pPr>
        <w:rPr>
          <w:rFonts w:ascii="Arial" w:eastAsia="Arial" w:hAnsi="Arial" w:cs="Arial"/>
          <w:sz w:val="28"/>
          <w:szCs w:val="28"/>
        </w:rPr>
      </w:pPr>
    </w:p>
    <w:p w:rsidR="00D731B3" w:rsidRDefault="00E36E84">
      <w:pPr>
        <w:rPr>
          <w:rFonts w:ascii="Arial" w:eastAsia="Arial" w:hAnsi="Arial" w:cs="Arial"/>
        </w:rPr>
      </w:pPr>
      <w:bookmarkStart w:id="20" w:name="_heading=h.3j2qqm3" w:colFirst="0" w:colLast="0"/>
      <w:bookmarkEnd w:id="20"/>
      <w:r>
        <w:rPr>
          <w:rFonts w:ascii="Arial" w:eastAsia="Arial" w:hAnsi="Arial" w:cs="Arial"/>
        </w:rPr>
        <w:t>4. Wyniki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Możliwość wykorzystania  podjednostki beta ludzkiej gonadotropiny kosmówkowej jako markera krążących komórek nowotworowych o zwiększonym potencjale inwazyjnym obecnych we krwi i płynie otrzewnowym </w:t>
      </w:r>
      <w:r>
        <w:rPr>
          <w:rFonts w:ascii="Arial" w:eastAsia="Arial" w:hAnsi="Arial" w:cs="Arial"/>
          <w:sz w:val="24"/>
          <w:szCs w:val="24"/>
        </w:rPr>
        <w:t xml:space="preserve"> pacjentek z nowotworami jajnika oceniono dokonując analizy względnej ekspresji genów kodujących podjednostkę beta hormonu: </w:t>
      </w:r>
      <w:r>
        <w:rPr>
          <w:rFonts w:ascii="Arial" w:eastAsia="Arial" w:hAnsi="Arial" w:cs="Arial"/>
          <w:i/>
          <w:sz w:val="24"/>
          <w:szCs w:val="24"/>
        </w:rPr>
        <w:t>CGB1-</w:t>
      </w:r>
      <w:r>
        <w:rPr>
          <w:rFonts w:ascii="Arial" w:eastAsia="Arial" w:hAnsi="Arial" w:cs="Arial"/>
          <w:sz w:val="24"/>
          <w:szCs w:val="24"/>
        </w:rPr>
        <w:t xml:space="preserve">2 i </w:t>
      </w:r>
      <w:r>
        <w:rPr>
          <w:rFonts w:ascii="Arial" w:eastAsia="Arial" w:hAnsi="Arial" w:cs="Arial"/>
          <w:i/>
          <w:sz w:val="24"/>
          <w:szCs w:val="24"/>
        </w:rPr>
        <w:t>CGB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i/>
          <w:sz w:val="24"/>
          <w:szCs w:val="24"/>
        </w:rPr>
        <w:t>-9</w:t>
      </w:r>
      <w:r>
        <w:rPr>
          <w:rFonts w:ascii="Arial" w:eastAsia="Arial" w:hAnsi="Arial" w:cs="Arial"/>
          <w:sz w:val="24"/>
          <w:szCs w:val="24"/>
        </w:rPr>
        <w:t xml:space="preserve"> oraz genów markerowych procesu </w:t>
      </w:r>
      <w:proofErr w:type="spellStart"/>
      <w:r>
        <w:rPr>
          <w:rFonts w:ascii="Arial" w:eastAsia="Arial" w:hAnsi="Arial" w:cs="Arial"/>
          <w:sz w:val="24"/>
          <w:szCs w:val="24"/>
        </w:rPr>
        <w:t>tranzycji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epietalialno-mezenchymalnej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z w:val="24"/>
          <w:szCs w:val="24"/>
        </w:rPr>
        <w:t xml:space="preserve">CK19, CDH, LOXL2, Snai1, Snai2, VIM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 MMP9</w:t>
      </w:r>
      <w:r>
        <w:rPr>
          <w:rFonts w:ascii="Arial" w:eastAsia="Arial" w:hAnsi="Arial" w:cs="Arial"/>
          <w:sz w:val="24"/>
          <w:szCs w:val="24"/>
        </w:rPr>
        <w:t>.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Materiał do badań stanowił archiwalny RNA wyizolowany z komórek nowotworowych obecnych w próbkach płynu otrzewnowego pobranego od 12 pacjentek z rakiem jajnika oraz komórek krążących we krwi 16 pacjentek z tym nowotworem. 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Całkowity RNA stanowił matrycę do</w:t>
      </w:r>
      <w:r>
        <w:rPr>
          <w:rFonts w:ascii="Arial" w:eastAsia="Arial" w:hAnsi="Arial" w:cs="Arial"/>
          <w:sz w:val="24"/>
          <w:szCs w:val="24"/>
        </w:rPr>
        <w:t xml:space="preserve"> syntezy </w:t>
      </w:r>
      <w:proofErr w:type="spellStart"/>
      <w:r>
        <w:rPr>
          <w:rFonts w:ascii="Arial" w:eastAsia="Arial" w:hAnsi="Arial" w:cs="Arial"/>
          <w:sz w:val="24"/>
          <w:szCs w:val="24"/>
        </w:rPr>
        <w:t>cDNA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które wykorzystano do przeprowadzenia reakcji </w:t>
      </w:r>
      <w:proofErr w:type="spellStart"/>
      <w:r>
        <w:rPr>
          <w:rFonts w:ascii="Arial" w:eastAsia="Arial" w:hAnsi="Arial" w:cs="Arial"/>
          <w:sz w:val="24"/>
          <w:szCs w:val="24"/>
        </w:rPr>
        <w:t>qPCR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Specyfikę reakcji zapewniło użycie swoistych genowo starterów i </w:t>
      </w:r>
      <w:proofErr w:type="spellStart"/>
      <w:r>
        <w:rPr>
          <w:rFonts w:ascii="Arial" w:eastAsia="Arial" w:hAnsi="Arial" w:cs="Arial"/>
          <w:sz w:val="24"/>
          <w:szCs w:val="24"/>
        </w:rPr>
        <w:t>fluorochromu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SYBR Green I (dla </w:t>
      </w:r>
      <w:r>
        <w:rPr>
          <w:rFonts w:ascii="Arial" w:eastAsia="Arial" w:hAnsi="Arial" w:cs="Arial"/>
          <w:i/>
          <w:sz w:val="24"/>
          <w:szCs w:val="24"/>
        </w:rPr>
        <w:t>Snai1, Snai2, LOXL2, MMP9, HPRT</w:t>
      </w:r>
      <w:r>
        <w:rPr>
          <w:rFonts w:ascii="Arial" w:eastAsia="Arial" w:hAnsi="Arial" w:cs="Arial"/>
          <w:sz w:val="24"/>
          <w:szCs w:val="24"/>
        </w:rPr>
        <w:t xml:space="preserve">), a także specyficznych sond hydrolitycznych (dla </w:t>
      </w:r>
      <w:r>
        <w:rPr>
          <w:rFonts w:ascii="Arial" w:eastAsia="Arial" w:hAnsi="Arial" w:cs="Arial"/>
          <w:i/>
          <w:sz w:val="24"/>
          <w:szCs w:val="24"/>
        </w:rPr>
        <w:t>CGB1-2, CGB3</w:t>
      </w:r>
      <w:r>
        <w:rPr>
          <w:rFonts w:ascii="Arial" w:eastAsia="Arial" w:hAnsi="Arial" w:cs="Arial"/>
          <w:i/>
          <w:sz w:val="24"/>
          <w:szCs w:val="24"/>
        </w:rPr>
        <w:t>-9, CDH1, VIM, CK19, HPRT</w:t>
      </w:r>
      <w:r>
        <w:rPr>
          <w:rFonts w:ascii="Arial" w:eastAsia="Arial" w:hAnsi="Arial" w:cs="Arial"/>
          <w:sz w:val="24"/>
          <w:szCs w:val="24"/>
        </w:rPr>
        <w:t>) .</w:t>
      </w:r>
    </w:p>
    <w:p w:rsidR="00D731B3" w:rsidRDefault="00E36E84">
      <w:pPr>
        <w:rPr>
          <w:rFonts w:ascii="Arial" w:eastAsia="Arial" w:hAnsi="Arial" w:cs="Arial"/>
        </w:rPr>
      </w:pPr>
      <w:bookmarkStart w:id="21" w:name="_heading=h.1y810tw" w:colFirst="0" w:colLast="0"/>
      <w:bookmarkEnd w:id="21"/>
      <w:r>
        <w:rPr>
          <w:rFonts w:ascii="Arial" w:eastAsia="Arial" w:hAnsi="Arial" w:cs="Arial"/>
        </w:rPr>
        <w:t xml:space="preserve">4.1. Analiza ekspresji genów </w:t>
      </w:r>
      <w:r>
        <w:rPr>
          <w:rFonts w:ascii="Arial" w:eastAsia="Arial" w:hAnsi="Arial" w:cs="Arial"/>
          <w:i/>
        </w:rPr>
        <w:t xml:space="preserve">CGB </w:t>
      </w:r>
      <w:r>
        <w:rPr>
          <w:rFonts w:ascii="Arial" w:eastAsia="Arial" w:hAnsi="Arial" w:cs="Arial"/>
        </w:rPr>
        <w:t>we krwi i płynie otrzewnowym pacjentek z rakiem jajnika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Przeprowadzone doświadczenia wykazały, że ekspresja genów kodujących </w:t>
      </w:r>
      <w:proofErr w:type="spellStart"/>
      <w:r>
        <w:rPr>
          <w:rFonts w:ascii="Arial" w:eastAsia="Arial" w:hAnsi="Arial" w:cs="Arial"/>
          <w:sz w:val="24"/>
          <w:szCs w:val="24"/>
        </w:rPr>
        <w:t>hCG</w:t>
      </w:r>
      <w:proofErr w:type="spellEnd"/>
      <w:r>
        <w:rPr>
          <w:rFonts w:ascii="Arial" w:eastAsia="Arial" w:hAnsi="Arial" w:cs="Arial"/>
          <w:sz w:val="24"/>
          <w:szCs w:val="24"/>
        </w:rPr>
        <w:t>β cechuje zarówno komórki izolowane z płynu otrzewnowego jak z krw</w:t>
      </w:r>
      <w:r>
        <w:rPr>
          <w:rFonts w:ascii="Arial" w:eastAsia="Arial" w:hAnsi="Arial" w:cs="Arial"/>
          <w:sz w:val="24"/>
          <w:szCs w:val="24"/>
        </w:rPr>
        <w:t>i pacjentek z rakiem jajnika. Grupy te wyróżniał jednak odmienny profil ekspresji badanych genów.</w:t>
      </w:r>
    </w:p>
    <w:p w:rsidR="00D731B3" w:rsidRDefault="00E36E84">
      <w:pPr>
        <w:rPr>
          <w:rFonts w:ascii="Arial" w:eastAsia="Arial" w:hAnsi="Arial" w:cs="Arial"/>
          <w:i/>
        </w:rPr>
      </w:pPr>
      <w:bookmarkStart w:id="22" w:name="_heading=h.4i7ojhp" w:colFirst="0" w:colLast="0"/>
      <w:bookmarkEnd w:id="22"/>
      <w:r>
        <w:rPr>
          <w:rFonts w:ascii="Arial" w:eastAsia="Arial" w:hAnsi="Arial" w:cs="Arial"/>
        </w:rPr>
        <w:t xml:space="preserve">4.1.1. Analiza ekspresji genów </w:t>
      </w:r>
      <w:r>
        <w:rPr>
          <w:rFonts w:ascii="Arial" w:eastAsia="Arial" w:hAnsi="Arial" w:cs="Arial"/>
          <w:i/>
        </w:rPr>
        <w:t>CGB1-2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Ekspresję genów </w:t>
      </w:r>
      <w:r>
        <w:rPr>
          <w:rFonts w:ascii="Arial" w:eastAsia="Arial" w:hAnsi="Arial" w:cs="Arial"/>
          <w:i/>
          <w:sz w:val="24"/>
          <w:szCs w:val="24"/>
        </w:rPr>
        <w:t xml:space="preserve">CGB1-2 </w:t>
      </w:r>
      <w:r>
        <w:rPr>
          <w:rFonts w:ascii="Arial" w:eastAsia="Arial" w:hAnsi="Arial" w:cs="Arial"/>
          <w:sz w:val="24"/>
          <w:szCs w:val="24"/>
        </w:rPr>
        <w:t>we krwi wykazywało 5 z 16 pacjentek, natomiast w płynie otrzewnowym ekspresję wykazano u 4 z 12 a</w:t>
      </w:r>
      <w:r>
        <w:rPr>
          <w:rFonts w:ascii="Arial" w:eastAsia="Arial" w:hAnsi="Arial" w:cs="Arial"/>
          <w:sz w:val="24"/>
          <w:szCs w:val="24"/>
        </w:rPr>
        <w:t xml:space="preserve">nalizowanych pacjentek. 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Przeprowadzone badanie wykazało zróżnicowanie w poziomie ekspresji genów </w:t>
      </w:r>
      <w:r>
        <w:rPr>
          <w:rFonts w:ascii="Arial" w:eastAsia="Arial" w:hAnsi="Arial" w:cs="Arial"/>
          <w:i/>
          <w:sz w:val="24"/>
          <w:szCs w:val="24"/>
        </w:rPr>
        <w:t>CGB1-2</w:t>
      </w:r>
      <w:r>
        <w:rPr>
          <w:rFonts w:ascii="Arial" w:eastAsia="Arial" w:hAnsi="Arial" w:cs="Arial"/>
          <w:sz w:val="24"/>
          <w:szCs w:val="24"/>
        </w:rPr>
        <w:t xml:space="preserve"> w poszczególnych grupach. Próby z krwi cechowała niższa aktywność transkrypcyjna w porównaniu </w:t>
      </w:r>
      <w:r>
        <w:rPr>
          <w:rFonts w:ascii="Arial" w:eastAsia="Arial" w:hAnsi="Arial" w:cs="Arial"/>
          <w:sz w:val="24"/>
          <w:szCs w:val="24"/>
        </w:rPr>
        <w:lastRenderedPageBreak/>
        <w:t>z próbami z płynu otrzewnowego. Odnotowano, że dla krwi p</w:t>
      </w:r>
      <w:r>
        <w:rPr>
          <w:rFonts w:ascii="Arial" w:eastAsia="Arial" w:hAnsi="Arial" w:cs="Arial"/>
          <w:sz w:val="24"/>
          <w:szCs w:val="24"/>
        </w:rPr>
        <w:t xml:space="preserve">oziom ekspresji utrzymywał się między 0,00E+00 a 2,20E+00. Dla płynu otrzewnowego najniższa wartość relatywnego poziomu ekspresji wynosiła, tak samo jak w przypadku krwi 0,00E+00, najwyższa natomiast 5,49E+00 (Tabela 7). 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Różnice w poziomie ekspresji genów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CGB1-2</w:t>
      </w:r>
      <w:r>
        <w:rPr>
          <w:rFonts w:ascii="Arial" w:eastAsia="Arial" w:hAnsi="Arial" w:cs="Arial"/>
          <w:sz w:val="24"/>
          <w:szCs w:val="24"/>
        </w:rPr>
        <w:t xml:space="preserve"> zobrazowano na Rycinie 6.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  <w:sectPr w:rsidR="00D731B3">
          <w:footerReference w:type="first" r:id="rId11"/>
          <w:pgSz w:w="11906" w:h="16838"/>
          <w:pgMar w:top="720" w:right="720" w:bottom="720" w:left="720" w:header="709" w:footer="709" w:gutter="0"/>
          <w:pgNumType w:start="1"/>
          <w:cols w:space="708"/>
          <w:titlePg/>
        </w:sectPr>
      </w:pPr>
      <w:r>
        <w:rPr>
          <w:rFonts w:ascii="Arial" w:eastAsia="Arial" w:hAnsi="Arial" w:cs="Arial"/>
          <w:sz w:val="24"/>
          <w:szCs w:val="24"/>
        </w:rPr>
        <w:t xml:space="preserve">Analiza statystyczna wykazała różnice w relatywnej ekspresji genów </w:t>
      </w:r>
      <w:r>
        <w:rPr>
          <w:rFonts w:ascii="Arial" w:eastAsia="Arial" w:hAnsi="Arial" w:cs="Arial"/>
          <w:i/>
          <w:sz w:val="24"/>
          <w:szCs w:val="24"/>
        </w:rPr>
        <w:t>CGB1-2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D731B3" w:rsidRDefault="00E36E84">
      <w:pPr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margin">
              <wp:align>left</wp:align>
            </wp:positionH>
            <wp:positionV relativeFrom="margin">
              <wp:posOffset>2142490</wp:posOffset>
            </wp:positionV>
            <wp:extent cx="5563235" cy="4643755"/>
            <wp:effectExtent l="0" t="0" r="0" b="0"/>
            <wp:wrapTopAndBottom distT="0" distB="0"/>
            <wp:docPr id="16" name="image2.png" descr="pairwise (8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airwise (8)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3235" cy="4643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br w:type="page"/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bookmarkStart w:id="23" w:name="_heading=h.2xcytpi" w:colFirst="0" w:colLast="0"/>
      <w:bookmarkEnd w:id="23"/>
      <w:r>
        <w:rPr>
          <w:rFonts w:ascii="Arial" w:eastAsia="Arial" w:hAnsi="Arial" w:cs="Arial"/>
        </w:rPr>
        <w:lastRenderedPageBreak/>
        <w:t>5. Wnioski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podstawie przeprowadzonych badań i uzyskanych wyników wyciągnięto następujące wnioski: 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geny kodujące podjednostkę beta ludzkiej gonadotropiny kosmówkowej (</w:t>
      </w:r>
      <w:r>
        <w:rPr>
          <w:rFonts w:ascii="Arial" w:eastAsia="Arial" w:hAnsi="Arial" w:cs="Arial"/>
          <w:i/>
          <w:sz w:val="24"/>
          <w:szCs w:val="24"/>
        </w:rPr>
        <w:t>CGB1-2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z w:val="24"/>
          <w:szCs w:val="24"/>
        </w:rPr>
        <w:t>CGB3-9</w:t>
      </w:r>
      <w:r>
        <w:rPr>
          <w:rFonts w:ascii="Arial" w:eastAsia="Arial" w:hAnsi="Arial" w:cs="Arial"/>
          <w:sz w:val="24"/>
          <w:szCs w:val="24"/>
        </w:rPr>
        <w:t>) ulega</w:t>
      </w:r>
      <w:r>
        <w:rPr>
          <w:rFonts w:ascii="Arial" w:eastAsia="Arial" w:hAnsi="Arial" w:cs="Arial"/>
          <w:sz w:val="24"/>
          <w:szCs w:val="24"/>
        </w:rPr>
        <w:t xml:space="preserve">ją ekspresji w komórkach obecnych w płynie otrzewnowym i we krwi  chorych z rakiem jajnika i ich zwiększony poziom może być wyznacznikiem procesu </w:t>
      </w:r>
      <w:proofErr w:type="spellStart"/>
      <w:r>
        <w:rPr>
          <w:rFonts w:ascii="Arial" w:eastAsia="Arial" w:hAnsi="Arial" w:cs="Arial"/>
          <w:sz w:val="24"/>
          <w:szCs w:val="24"/>
        </w:rPr>
        <w:t>nowotworzenia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 rozsiewu nowotworu;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zarówno geny </w:t>
      </w:r>
      <w:r>
        <w:rPr>
          <w:rFonts w:ascii="Arial" w:eastAsia="Arial" w:hAnsi="Arial" w:cs="Arial"/>
          <w:i/>
          <w:sz w:val="24"/>
          <w:szCs w:val="24"/>
        </w:rPr>
        <w:t>CK-19,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CDH1</w:t>
      </w:r>
      <w:r>
        <w:rPr>
          <w:rFonts w:ascii="Arial" w:eastAsia="Arial" w:hAnsi="Arial" w:cs="Arial"/>
          <w:sz w:val="24"/>
          <w:szCs w:val="24"/>
        </w:rPr>
        <w:t xml:space="preserve"> jak </w:t>
      </w:r>
      <w:r>
        <w:rPr>
          <w:rFonts w:ascii="Arial" w:eastAsia="Arial" w:hAnsi="Arial" w:cs="Arial"/>
          <w:i/>
          <w:sz w:val="24"/>
          <w:szCs w:val="24"/>
        </w:rPr>
        <w:t>VIM, MMP-9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Snai1, Snai2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 LOXL2</w:t>
      </w:r>
      <w:r>
        <w:rPr>
          <w:rFonts w:ascii="Arial" w:eastAsia="Arial" w:hAnsi="Arial" w:cs="Arial"/>
          <w:sz w:val="24"/>
          <w:szCs w:val="24"/>
        </w:rPr>
        <w:t xml:space="preserve"> będące odpowiednio markerami komórek nabłonkowych i </w:t>
      </w:r>
      <w:proofErr w:type="spellStart"/>
      <w:r>
        <w:rPr>
          <w:rFonts w:ascii="Arial" w:eastAsia="Arial" w:hAnsi="Arial" w:cs="Arial"/>
          <w:sz w:val="24"/>
          <w:szCs w:val="24"/>
        </w:rPr>
        <w:t>mezenchymalnych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ulegają ekspresji w komórkach raka krążących we krwi chorych z rakiem jajnika, oraz komórkach obecnych w płynie otrzewnowym, co może świadczyć, że część komórek nowotworowych ulega części</w:t>
      </w:r>
      <w:r>
        <w:rPr>
          <w:rFonts w:ascii="Arial" w:eastAsia="Arial" w:hAnsi="Arial" w:cs="Arial"/>
          <w:sz w:val="24"/>
          <w:szCs w:val="24"/>
        </w:rPr>
        <w:t xml:space="preserve">owej </w:t>
      </w:r>
      <w:proofErr w:type="spellStart"/>
      <w:r>
        <w:rPr>
          <w:rFonts w:ascii="Arial" w:eastAsia="Arial" w:hAnsi="Arial" w:cs="Arial"/>
          <w:sz w:val="24"/>
          <w:szCs w:val="24"/>
        </w:rPr>
        <w:t>tranzycji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epitelialno-mezenchymalnej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związanej z zachowaniem właściwości adhezyjnych i migracyjnych tych komórek; 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korelacja pomiędzy ekspresją </w:t>
      </w:r>
      <w:r>
        <w:rPr>
          <w:rFonts w:ascii="Arial" w:eastAsia="Arial" w:hAnsi="Arial" w:cs="Arial"/>
          <w:i/>
          <w:sz w:val="24"/>
          <w:szCs w:val="24"/>
        </w:rPr>
        <w:t>CGB1-2</w:t>
      </w:r>
      <w:r>
        <w:rPr>
          <w:rFonts w:ascii="Arial" w:eastAsia="Arial" w:hAnsi="Arial" w:cs="Arial"/>
          <w:sz w:val="24"/>
          <w:szCs w:val="24"/>
        </w:rPr>
        <w:t xml:space="preserve"> i </w:t>
      </w:r>
      <w:r>
        <w:rPr>
          <w:rFonts w:ascii="Arial" w:eastAsia="Arial" w:hAnsi="Arial" w:cs="Arial"/>
          <w:i/>
          <w:sz w:val="24"/>
          <w:szCs w:val="24"/>
        </w:rPr>
        <w:t>MMP-9</w:t>
      </w:r>
      <w:r>
        <w:rPr>
          <w:rFonts w:ascii="Arial" w:eastAsia="Arial" w:hAnsi="Arial" w:cs="Arial"/>
          <w:sz w:val="24"/>
          <w:szCs w:val="24"/>
        </w:rPr>
        <w:t xml:space="preserve"> u pacjentek z rakiem jajnika wskazuje, że aktywność tych genów promuje fenotyp </w:t>
      </w:r>
      <w:proofErr w:type="spellStart"/>
      <w:r>
        <w:rPr>
          <w:rFonts w:ascii="Arial" w:eastAsia="Arial" w:hAnsi="Arial" w:cs="Arial"/>
          <w:sz w:val="24"/>
          <w:szCs w:val="24"/>
        </w:rPr>
        <w:t>mezenchymalny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731B3" w:rsidRDefault="00D731B3">
      <w:pPr>
        <w:rPr>
          <w:rFonts w:ascii="Arial" w:eastAsia="Arial" w:hAnsi="Arial" w:cs="Arial"/>
        </w:rPr>
      </w:pP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bookmarkStart w:id="24" w:name="_heading=h.1ci93xb" w:colFirst="0" w:colLast="0"/>
      <w:bookmarkEnd w:id="24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6. </w:t>
      </w:r>
      <w:proofErr w:type="spellStart"/>
      <w:r w:rsidRPr="007068B9">
        <w:rPr>
          <w:rFonts w:ascii="Arial" w:eastAsia="Arial" w:hAnsi="Arial" w:cs="Arial"/>
          <w:lang w:val="en-US"/>
        </w:rPr>
        <w:t>Piśmiennictwo</w:t>
      </w:r>
      <w:proofErr w:type="spellEnd"/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1.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  <w:t xml:space="preserve">Ashworth T. A case of cancer in which cells similar to those in the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tumours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were seen in the blood after death.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Aust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Med J. 1869;14:146–9.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2.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  <w:t xml:space="preserve">de Wit S, van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Dalum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G,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Terstappen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LWMM. Detection of Circulating Tumor Cells.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Scientific</w:t>
      </w:r>
      <w:r w:rsidRPr="007068B9">
        <w:rPr>
          <w:rFonts w:ascii="Arial" w:eastAsia="Arial" w:hAnsi="Arial" w:cs="Arial"/>
          <w:sz w:val="24"/>
          <w:szCs w:val="24"/>
          <w:lang w:val="en-US"/>
        </w:rPr>
        <w:t>a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(Cairo). 2014;2014:1–11.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3.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  <w:t>Castro-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Giner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F,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Aceto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N. Tracking cancer progression: From circulating tumor cells to metastasis. Genome Med. 2020;12(1):1–12.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4.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  <w:t>Hong Y, Fang F, Zhang Q. Circulating tumor cell clusters: What we know and what we expect (R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eview).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Int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J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Oncol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. 2016;49(6):2206–16.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5.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Malagobadan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S,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Nagoor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NH.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Anoikis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Encycl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Cancer. 2018;1:75–84.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6.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  <w:t xml:space="preserve">Keller L,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Pantel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K. Unravelling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tumour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heterogeneity by single-cell profiling of circulating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tumour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cells. Nat Rev Cancer [Internet]. 2019;19</w:t>
      </w:r>
      <w:r w:rsidRPr="007068B9">
        <w:rPr>
          <w:rFonts w:ascii="Arial" w:eastAsia="Arial" w:hAnsi="Arial" w:cs="Arial"/>
          <w:sz w:val="24"/>
          <w:szCs w:val="24"/>
          <w:lang w:val="en-US"/>
        </w:rPr>
        <w:t>(10):553–67. Available from: http://dx.doi.org/10.1038/s41568-019-0180-2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7.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  <w:t xml:space="preserve">Kim M,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Oskarsson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T,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Acharyya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S, Nguyen DX, Xiang H, Norton L, et al. Tumor self-seeding by circulating cancer cells. Cell [Internet]. 2010;139(7):1315–26. Available from: doi:10.1</w:t>
      </w:r>
      <w:r w:rsidRPr="007068B9">
        <w:rPr>
          <w:rFonts w:ascii="Arial" w:eastAsia="Arial" w:hAnsi="Arial" w:cs="Arial"/>
          <w:sz w:val="24"/>
          <w:szCs w:val="24"/>
          <w:lang w:val="en-US"/>
        </w:rPr>
        <w:t>016/j.cell.2009.11.025.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8.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  <w:t>Lu W, Kang Y. Epithelial-Mesenchymal Plasticity in Cancer Progression and Metastasis. Dev Cell [Internet]. 2019;49(3):361–74. Available from: https://doi.org/10.1016/j.devcel.2019.04.010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9.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Saxena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K, Jolly MK,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Balamurugan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K. Hy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poxia, partial EMT and collective migration: Emerging culprits in metastasis.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Transl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Oncol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[Internet]. 2020;13(11):100845. Available from: https://doi.org/10.1016/j.tranon.2020.100845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10. </w:t>
      </w:r>
      <w:r>
        <w:rPr>
          <w:rFonts w:ascii="Arial" w:eastAsia="Arial" w:hAnsi="Arial" w:cs="Arial"/>
          <w:sz w:val="24"/>
          <w:szCs w:val="24"/>
        </w:rPr>
        <w:tab/>
        <w:t xml:space="preserve">Balcerak A, Wakuła M, </w:t>
      </w:r>
      <w:proofErr w:type="spellStart"/>
      <w:r>
        <w:rPr>
          <w:rFonts w:ascii="Arial" w:eastAsia="Arial" w:hAnsi="Arial" w:cs="Arial"/>
          <w:sz w:val="24"/>
          <w:szCs w:val="24"/>
        </w:rPr>
        <w:t>Trębińska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A, Grzybowska EA. Migracja i inwazy</w:t>
      </w:r>
      <w:r>
        <w:rPr>
          <w:rFonts w:ascii="Arial" w:eastAsia="Arial" w:hAnsi="Arial" w:cs="Arial"/>
          <w:sz w:val="24"/>
          <w:szCs w:val="24"/>
        </w:rPr>
        <w:t xml:space="preserve">jność komórek nowotworowych; rola plastyczności komórek i udział macierzy zewnątrzkomórkowej w tworzeniu przerzutów.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Nowotwory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. 2016;66(1):45–52.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11.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  <w:t>Global Cancer Observatory: Cancer Today. Lyon, France: International Agency for Research on Cancer. Avai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lable from: https://gco.iarc.fr/today, accessed [02 April 2022].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12.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  <w:t xml:space="preserve">Stewart C,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Ralyea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C, Lockwood S. Ovarian Cancer: An Integrated Review.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Semin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Oncol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Nurs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[Internet]. 2019;35(2):151–6. Available from: https://doi.org/10.1016/j.soncn.2019.02.001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13.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Lh</w:t>
      </w:r>
      <w:r w:rsidRPr="007068B9">
        <w:rPr>
          <w:rFonts w:ascii="Arial" w:eastAsia="Arial" w:hAnsi="Arial" w:cs="Arial"/>
          <w:sz w:val="24"/>
          <w:szCs w:val="24"/>
          <w:lang w:val="en-US"/>
        </w:rPr>
        <w:t>eureux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S,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Gourley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C,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Vergote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I,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Oza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AM. Epithelial ovarian cancer. Lancet [Internet]. 2019;393(10177):1240–53. Available from: http://dx.doi.org/10.1016/S0140-6736(18)32552-2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14.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Koshiyama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M, Matsumura N,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Konishi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I. Recent concepts of ovarian carcinogenes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is: Type i and type II. Biomed Res Int. 2014;2014.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15.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Kurman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RJ, Shih IM. Pathogenesis of ovarian cancer: Lessons from morphology and molecular biology and their clinical implications.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Int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J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Gynecol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Pathol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. 2008;27(2):151–60.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16.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  <w:t>Bell D, et al. Integr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ated Genomic Analyses of Ovarian Carcinoma. Nature. 2011;474(7353):609–15.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17.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  <w:t xml:space="preserve">Menon U,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Karpinskyj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C, Gentry-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Maharaj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A. Ovarian Cancer Prevention and Screening.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Obstet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Gynecol. 2018;131(5):909–27.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18.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  <w:t xml:space="preserve">Zondervan KT, Becker CM,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Missmer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SA. Endometriosis.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N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Engl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J Med. 2020;382(13):1244–56.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19.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Bulun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SE, Yilmaz BD,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Sison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C, Miyazaki K,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Bernardi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L, Liu S, et al. Endometriosis.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Endocr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Rev. 2019;40(4):1048–79.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20.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Havrilesky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LJ, Moorman PG, Lowery WJ,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Gierisch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JM,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Coeytaux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RR,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Urrutia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RP, et al. Oral cont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raceptive pills as primary prevention for ovarian cancer: A systematic review and meta-analysis.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Obstet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Gynecol. 2013;122(1):139–47.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21.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Blassl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C,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Kuhlmann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JD,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Webers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A,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Wimberger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P,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Fehm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T,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Neubauer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H. Gene expression profiling of single circulating tum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or cells in ovarian cancer – Establishment of a multi-marker gene panel.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Mol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Oncol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[Internet]. 2016;10(7):1030–42. Available from: http://dx.doi.org/10.1016/j.molonc.2016.04.002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22.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  <w:t xml:space="preserve">Asante DB,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Calapre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L,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Ziman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M,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Meniawy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TM, Gray ES. Liquid biopsy in ovar</w:t>
      </w:r>
      <w:r w:rsidRPr="007068B9">
        <w:rPr>
          <w:rFonts w:ascii="Arial" w:eastAsia="Arial" w:hAnsi="Arial" w:cs="Arial"/>
          <w:sz w:val="24"/>
          <w:szCs w:val="24"/>
          <w:lang w:val="en-US"/>
        </w:rPr>
        <w:t>ian cancer using circulating tumor DNA and cells: Ready for prime time? Cancer Lett [Internet]. 2020;468:59–71. Available from: https://doi.org/10.1016/j.canlet.2019.10.014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23.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Bonifácio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VDB. Ovarian Cancer Biomarkers: Moving Forward in Early Detection. V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ol. 1219, Advances in Experimental Medicine and Biology. 2020. 355–363 p.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24.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Suchorska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W.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Nowotworowe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komórki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krążące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 :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biologia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i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znaczenie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kliniczne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. Lett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Oncol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Sci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[Internet]. 2019;16(3):7–15. Available from: doi:10.21641/los.2019.16.3.155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25.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Klyme</w:t>
      </w:r>
      <w:r w:rsidRPr="007068B9">
        <w:rPr>
          <w:rFonts w:ascii="Arial" w:eastAsia="Arial" w:hAnsi="Arial" w:cs="Arial"/>
          <w:sz w:val="24"/>
          <w:szCs w:val="24"/>
          <w:lang w:val="en-US"/>
        </w:rPr>
        <w:t>nko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Y, Kim O, Stack MS. Complex determinants of epithelial: Mesenchymal phenotypic plasticity in ovarian cancer. Cancers (Basel). 2017;9(8):1–32.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lastRenderedPageBreak/>
        <w:t xml:space="preserve">26.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Heidegger H,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Jeschke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U. Human chorionic gonadotropin (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hCG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)—an endocrine, regulator of gestation and cancer.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Int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J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Mol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Sci. 2018;19(5):29–31.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27.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  <w:t xml:space="preserve">Cole LA. Biological functions of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hCG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and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hCG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-related molecules.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Reprod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Biol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Endocrinol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. 2010;8:1–14.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28.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Nwabuobi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C,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Arlier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S, Schatz F,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Guzeloglu-Kayisli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O, Lockwood CJ,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Kayisli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UA.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hCG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: Biological functions and clinical applications.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Int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J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Mol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Sci. 2017;18(10):1–15.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29.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  <w:t xml:space="preserve">de Medeiros SF, Norman RJ. Human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choriogonadotrophin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protein core and sugar branches h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eterogeneity: Basic and clinical insights. Hum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Reprod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Update. 2009;15(1):69–95.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30.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  <w:t xml:space="preserve">Białas P, Jankowska A. Biochemical markers in breast and ovarian cancer. Polish Rev Heal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Sci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[Internet]. 2015;42(2):115–21. Available from: http://przeglad.amp.edu.pl/upl</w:t>
      </w:r>
      <w:r w:rsidRPr="007068B9">
        <w:rPr>
          <w:rFonts w:ascii="Arial" w:eastAsia="Arial" w:hAnsi="Arial" w:cs="Arial"/>
          <w:sz w:val="24"/>
          <w:szCs w:val="24"/>
          <w:lang w:val="en-US"/>
        </w:rPr>
        <w:t>oads/2015/2/115_2_43_2015.pdf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31.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Burczynska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BB,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Kobrouly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L, Butler SA,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Naase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M, Iles RK. Novel insights into the expression of CGB1 1-2 genes by epithelial cancer cell lines secreting ectopic free. Anticancer Res. 2014;34(5):2239–48.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32.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Kubiczak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M, Wa</w:t>
      </w:r>
      <w:r w:rsidRPr="007068B9">
        <w:rPr>
          <w:rFonts w:ascii="Arial" w:eastAsia="Arial" w:hAnsi="Arial" w:cs="Arial"/>
          <w:sz w:val="24"/>
          <w:szCs w:val="24"/>
          <w:lang w:val="en-US"/>
        </w:rPr>
        <w:t>lkowiak GP, Nowak-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Markwitz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E, Jankowska A. Human chorionic gonadotropin beta subunit genes CGB1 and CGB2 are transcriptionally active in ovarian cancer.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Int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J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Mol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Sci. 2013;14(6):12650–60.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33.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Sahoo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S, Singh P,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Kalha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B, Singh O, Pal R. Gonadotropin-media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ted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chemoresistance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>: Delineation of molecular pathways and targets. BMC Cancer [Internet]. 2015;15(1):1–14. Available from: http://dx.doi.org/10.1186/s12885-015-1938-x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34.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  <w:t>Pond-Tor S, Rhodes RG, Dahlberg PE, Leith JT, McMichael J, Dahlberg AE. Enhancement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of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radiosensitivity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of the MCF-7 breast cancer cell line with human chorionic gonadotropin. Breast Cancer Res Treat. 2002;72(1):45–51.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35.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  <w:t xml:space="preserve">Jankowska A, Gunderson SI, Andrusiewicz M,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Burczynska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B, Szczerba A,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Jarmolowski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A, et al. Reduction of human chor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ionic gonadotropin beta subunit expression by modified U1 snRNA caused apoptosis in cervical cancer cells.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Mol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Cancer. 2008;7:1–9.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36.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  <w:t xml:space="preserve">Cole LA, Butler S.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Hyperglycosylated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hCG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hCG</w:t>
      </w:r>
      <w:proofErr w:type="spellEnd"/>
      <w:r>
        <w:rPr>
          <w:rFonts w:ascii="Arial" w:eastAsia="Arial" w:hAnsi="Arial" w:cs="Arial"/>
          <w:sz w:val="24"/>
          <w:szCs w:val="24"/>
        </w:rPr>
        <w:t>β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and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Hyperglycosylated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hCG</w:t>
      </w:r>
      <w:proofErr w:type="spellEnd"/>
      <w:r>
        <w:rPr>
          <w:rFonts w:ascii="Arial" w:eastAsia="Arial" w:hAnsi="Arial" w:cs="Arial"/>
          <w:sz w:val="24"/>
          <w:szCs w:val="24"/>
        </w:rPr>
        <w:t>β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: Interchangeable cancer promoters.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Mol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Cell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E</w:t>
      </w:r>
      <w:r w:rsidRPr="007068B9">
        <w:rPr>
          <w:rFonts w:ascii="Arial" w:eastAsia="Arial" w:hAnsi="Arial" w:cs="Arial"/>
          <w:sz w:val="24"/>
          <w:szCs w:val="24"/>
          <w:lang w:val="en-US"/>
        </w:rPr>
        <w:t>ndocrinol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. 2012;349(2):232–8.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37.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  <w:t xml:space="preserve">Liu N, Peng SM, Zhan GX, Yu J, Wu WM, Gao H, et al. Human chorionic gonadotropin </w:t>
      </w:r>
      <w:r>
        <w:rPr>
          <w:rFonts w:ascii="Arial" w:eastAsia="Arial" w:hAnsi="Arial" w:cs="Arial"/>
          <w:sz w:val="24"/>
          <w:szCs w:val="24"/>
        </w:rPr>
        <w:t>β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regulates epithelial-mesenchymal transition and metastasis in human ovarian cancer.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Oncol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Rep. 2017;38(3):1464–72.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38.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Nastały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P,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Honec</w:t>
      </w:r>
      <w:r w:rsidRPr="007068B9">
        <w:rPr>
          <w:rFonts w:ascii="Arial" w:eastAsia="Arial" w:hAnsi="Arial" w:cs="Arial"/>
          <w:sz w:val="24"/>
          <w:szCs w:val="24"/>
          <w:lang w:val="en-US"/>
        </w:rPr>
        <w:t>ker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F,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Pantel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K,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Riethdorf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S. Detection of Circulating Tumor Cells (CTCs) in Patients with Testicular Germ Cell Tumors. In: Testicular Germ Cell Tumors Methods in Molecular Biology In: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Bagrodia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, A,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Amatruda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>, JF (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eds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). 2021. p. 245–261.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39.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  <w:t xml:space="preserve">Yang MH,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Imral</w:t>
      </w:r>
      <w:r w:rsidRPr="007068B9">
        <w:rPr>
          <w:rFonts w:ascii="Arial" w:eastAsia="Arial" w:hAnsi="Arial" w:cs="Arial"/>
          <w:sz w:val="24"/>
          <w:szCs w:val="24"/>
          <w:lang w:val="en-US"/>
        </w:rPr>
        <w:t>i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A,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Heeschen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C. Circulating cancer stem cells: The importance to select. Chinese J Cancer Res. 2015;27(5):437–49.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40.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Chebouti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I,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Kasimir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-Bauer S,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Buderath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P,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Wimberger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P,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Hauch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S,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Kimmig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R, et al. EMT-like circulating tumor cells in ovarian cancer pati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ents are enriched by platinum-based chemotherapy.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Oncotarget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. 2017;8(30):48820–31.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lastRenderedPageBreak/>
        <w:t xml:space="preserve">41.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  <w:t xml:space="preserve">Białas P,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Śliwa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A, Szczerba A, Jankowska A. The study of the expression of CGB1 and CGB2 in human cancer tissues. Genes (Basel). 2020;11(9):1–11.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42.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Gaona-Luviano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P</w:t>
      </w:r>
      <w:r w:rsidRPr="007068B9">
        <w:rPr>
          <w:rFonts w:ascii="Arial" w:eastAsia="Arial" w:hAnsi="Arial" w:cs="Arial"/>
          <w:sz w:val="24"/>
          <w:szCs w:val="24"/>
          <w:lang w:val="en-US"/>
        </w:rPr>
        <w:t>, Adriana L, Medina-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Gaona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Magaña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-Pérez K. Epidemiology of ovarian cancer. Chinese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Clin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Oncol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. 2020;9(4).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43.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  <w:t xml:space="preserve">Orr B, Edwards RP. Diagnosis and Treatment of Ovarian Cancer.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Hematol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Oncol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Clin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North Am [Internet]. 2018;32(6):943–64. Available from: https:/</w:t>
      </w:r>
      <w:r w:rsidRPr="007068B9">
        <w:rPr>
          <w:rFonts w:ascii="Arial" w:eastAsia="Arial" w:hAnsi="Arial" w:cs="Arial"/>
          <w:sz w:val="24"/>
          <w:szCs w:val="24"/>
          <w:lang w:val="en-US"/>
        </w:rPr>
        <w:t>/doi.org/10.1016/j.hoc.2018.07.010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44.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  <w:t xml:space="preserve">Nguyen VHL, Yue C, Du KY, Salem M, O’Brien J, Peng C. The role of microRNAs in epithelial ovarian cancer metastasis.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Int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J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Mol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Sci. 2020;21(19):1–39. 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45.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  <w:t>Lin D, Shen L, Luo M, Zhang K, Li J, Yang Q, et al. Circulat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ing tumor cells: biology and clinical significance. </w:t>
      </w:r>
      <w:proofErr w:type="spellStart"/>
      <w:r>
        <w:rPr>
          <w:rFonts w:ascii="Arial" w:eastAsia="Arial" w:hAnsi="Arial" w:cs="Arial"/>
          <w:sz w:val="24"/>
          <w:szCs w:val="24"/>
        </w:rPr>
        <w:t>Signal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Transduct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Target </w:t>
      </w:r>
      <w:proofErr w:type="spellStart"/>
      <w:r>
        <w:rPr>
          <w:rFonts w:ascii="Arial" w:eastAsia="Arial" w:hAnsi="Arial" w:cs="Arial"/>
          <w:sz w:val="24"/>
          <w:szCs w:val="24"/>
        </w:rPr>
        <w:t>Ther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2021;6(1).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</w:rPr>
        <w:t xml:space="preserve">46. </w:t>
      </w:r>
      <w:r>
        <w:rPr>
          <w:rFonts w:ascii="Arial" w:eastAsia="Arial" w:hAnsi="Arial" w:cs="Arial"/>
          <w:sz w:val="24"/>
          <w:szCs w:val="24"/>
        </w:rPr>
        <w:tab/>
        <w:t xml:space="preserve">Głodek A, </w:t>
      </w:r>
      <w:proofErr w:type="spellStart"/>
      <w:r>
        <w:rPr>
          <w:rFonts w:ascii="Arial" w:eastAsia="Arial" w:hAnsi="Arial" w:cs="Arial"/>
          <w:sz w:val="24"/>
          <w:szCs w:val="24"/>
        </w:rPr>
        <w:t>Kubiczak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M, Urbaniak P, Walkowiak G, Nowak-</w:t>
      </w:r>
      <w:proofErr w:type="spellStart"/>
      <w:r>
        <w:rPr>
          <w:rFonts w:ascii="Arial" w:eastAsia="Arial" w:hAnsi="Arial" w:cs="Arial"/>
          <w:sz w:val="24"/>
          <w:szCs w:val="24"/>
        </w:rPr>
        <w:t>Markwitz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E, Jankowska A. Ludzka gonadotropina kosmówkowa - znany hormon o nieznanych funkcjach.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Ginekol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Pol. 2012;83(10):766–71.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47.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Loret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N, Denys H,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Tummers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P,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Berx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G. The role of epithelial-to-mesenchymal plasticity in ovarian cancer progression and therapy resistance. Cancers (Basel). 2019;11(6):1–22.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48.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  <w:t>Zhang Y, Wang X, Chen X. Identification of co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re genes for early diagnosis and the EMT modulation of ovarian serous cancer by bioinformatics perspective. Aging (Albany NY). 2021;13(2):3112–45.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49.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Kalluri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R, Weinberg RA. The basics of epithelial-mesenchymal transition. J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Clin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Invest. 2009;119(6):142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0–8.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50.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  <w:t xml:space="preserve">Carey P, Low E, Harper E, Stack MS.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Metalloproteinases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in ovarian cancer.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Int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J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Mol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Sci. 2021;22(7):1–15.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51.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  <w:t xml:space="preserve">Ye M, Zhou J, Gao Y, Pan S, Zhu X. The prognostic value of the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lysyl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oxidase family in ovarian cancer. J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Clin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Lab Anal. 2020;34(12):1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–11.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52.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  <w:t xml:space="preserve">Lu Q, Qu H, Lou T, Liu C, Zhang Z. CK19 promotes ovarian cancer development by impacting on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wnt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>/</w:t>
      </w:r>
      <w:r>
        <w:rPr>
          <w:rFonts w:ascii="Arial" w:eastAsia="Arial" w:hAnsi="Arial" w:cs="Arial"/>
          <w:sz w:val="24"/>
          <w:szCs w:val="24"/>
        </w:rPr>
        <w:t>β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-catenin pathway.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Onco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Targets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Ther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. 2020;13:2421–31.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53.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  <w:t xml:space="preserve">Lu ZY, Dong R, Li D, Li WB, Xu FQ,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Geng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Y, et al. SNAI1 overexpression induces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stemness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and promotes ovarian cancer cell invasion and metastasis.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Oncol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Rep. 2012;27(5):1587–91.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54.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  <w:t xml:space="preserve">Padilla MAA,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Binju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M, Wan G,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Rahmanto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YS, Kaur P, Yu Y. Relationship between ovarian cancer stem cells, epithelial mesenchymal transition and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tumour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recurrence.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Cancer Drug Resist. 2019;2(4):1127–35.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55.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Zhang W, Yang HC, Wang Q, Yang ZJ, Chen H, Wang SM, et al. Clinical value of combined detection of serum matrix metalloproteinase-9,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heparanase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, and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cathepsin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for determining ovarian cancer invasion and metastasis. Anticancer Res. 2011;31(10):3423–8. </w:t>
      </w:r>
    </w:p>
    <w:p w:rsidR="00D731B3" w:rsidRPr="007068B9" w:rsidRDefault="00E36E84">
      <w:pPr>
        <w:rPr>
          <w:rFonts w:ascii="Arial" w:eastAsia="Arial" w:hAnsi="Arial" w:cs="Arial"/>
          <w:sz w:val="24"/>
          <w:szCs w:val="24"/>
          <w:lang w:val="en-US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56.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Szubert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S, Koper K,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Dutsch-Wicherek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MM,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Jozwicki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W. High tumor cell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vimentin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expression indicates prolonged survival in patients with ovarian malignant tumors.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Ginekol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Pol. 2019;90(1):11–9. </w:t>
      </w:r>
    </w:p>
    <w:p w:rsidR="00D731B3" w:rsidRDefault="00E36E84">
      <w:pPr>
        <w:rPr>
          <w:rFonts w:ascii="Arial" w:eastAsia="Arial" w:hAnsi="Arial" w:cs="Arial"/>
          <w:sz w:val="24"/>
          <w:szCs w:val="24"/>
        </w:rPr>
      </w:pPr>
      <w:r w:rsidRPr="007068B9">
        <w:rPr>
          <w:rFonts w:ascii="Arial" w:eastAsia="Arial" w:hAnsi="Arial" w:cs="Arial"/>
          <w:sz w:val="24"/>
          <w:szCs w:val="24"/>
          <w:lang w:val="en-US"/>
        </w:rPr>
        <w:lastRenderedPageBreak/>
        <w:t xml:space="preserve">57. </w:t>
      </w:r>
      <w:r w:rsidRPr="007068B9">
        <w:rPr>
          <w:rFonts w:ascii="Arial" w:eastAsia="Arial" w:hAnsi="Arial" w:cs="Arial"/>
          <w:sz w:val="24"/>
          <w:szCs w:val="24"/>
          <w:lang w:val="en-US"/>
        </w:rPr>
        <w:tab/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Rull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K, </w:t>
      </w:r>
      <w:proofErr w:type="spellStart"/>
      <w:r w:rsidRPr="007068B9">
        <w:rPr>
          <w:rFonts w:ascii="Arial" w:eastAsia="Arial" w:hAnsi="Arial" w:cs="Arial"/>
          <w:sz w:val="24"/>
          <w:szCs w:val="24"/>
          <w:lang w:val="en-US"/>
        </w:rPr>
        <w:t>Laan</w:t>
      </w:r>
      <w:proofErr w:type="spellEnd"/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M. Expression of </w:t>
      </w:r>
      <w:r>
        <w:rPr>
          <w:rFonts w:ascii="Arial" w:eastAsia="Arial" w:hAnsi="Arial" w:cs="Arial"/>
          <w:sz w:val="24"/>
          <w:szCs w:val="24"/>
        </w:rPr>
        <w:t>β</w:t>
      </w:r>
      <w:r w:rsidRPr="007068B9">
        <w:rPr>
          <w:rFonts w:ascii="Arial" w:eastAsia="Arial" w:hAnsi="Arial" w:cs="Arial"/>
          <w:sz w:val="24"/>
          <w:szCs w:val="24"/>
          <w:lang w:val="en-US"/>
        </w:rPr>
        <w:t>-subunit of HCG genes during</w:t>
      </w:r>
      <w:r w:rsidRPr="007068B9">
        <w:rPr>
          <w:rFonts w:ascii="Arial" w:eastAsia="Arial" w:hAnsi="Arial" w:cs="Arial"/>
          <w:sz w:val="24"/>
          <w:szCs w:val="24"/>
          <w:lang w:val="en-US"/>
        </w:rPr>
        <w:t xml:space="preserve"> normal and failed pregnancy. </w:t>
      </w:r>
      <w:r>
        <w:rPr>
          <w:rFonts w:ascii="Arial" w:eastAsia="Arial" w:hAnsi="Arial" w:cs="Arial"/>
          <w:sz w:val="24"/>
          <w:szCs w:val="24"/>
        </w:rPr>
        <w:t xml:space="preserve">Hum </w:t>
      </w:r>
      <w:proofErr w:type="spellStart"/>
      <w:r>
        <w:rPr>
          <w:rFonts w:ascii="Arial" w:eastAsia="Arial" w:hAnsi="Arial" w:cs="Arial"/>
          <w:sz w:val="24"/>
          <w:szCs w:val="24"/>
        </w:rPr>
        <w:t>Reprod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2005;20(12):3360–8. </w:t>
      </w:r>
    </w:p>
    <w:p w:rsidR="00D731B3" w:rsidRDefault="00D731B3">
      <w:pPr>
        <w:rPr>
          <w:rFonts w:ascii="Arial" w:eastAsia="Arial" w:hAnsi="Arial" w:cs="Arial"/>
          <w:sz w:val="28"/>
          <w:szCs w:val="28"/>
        </w:rPr>
      </w:pPr>
    </w:p>
    <w:p w:rsidR="00D731B3" w:rsidRDefault="00D731B3">
      <w:pPr>
        <w:rPr>
          <w:rFonts w:ascii="Arial" w:eastAsia="Arial" w:hAnsi="Arial" w:cs="Arial"/>
          <w:b/>
          <w:sz w:val="28"/>
          <w:szCs w:val="28"/>
        </w:rPr>
      </w:pPr>
    </w:p>
    <w:p w:rsidR="00D731B3" w:rsidRDefault="00E36E84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sectPr w:rsidR="00D731B3">
      <w:footerReference w:type="first" r:id="rId13"/>
      <w:pgSz w:w="11906" w:h="16838"/>
      <w:pgMar w:top="720" w:right="720" w:bottom="720" w:left="720" w:header="709" w:footer="709" w:gutter="0"/>
      <w:pgNumType w:start="4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E84" w:rsidRDefault="00E36E84">
      <w:pPr>
        <w:spacing w:after="0" w:line="240" w:lineRule="auto"/>
      </w:pPr>
      <w:r>
        <w:separator/>
      </w:r>
    </w:p>
  </w:endnote>
  <w:endnote w:type="continuationSeparator" w:id="0">
    <w:p w:rsidR="00E36E84" w:rsidRDefault="00E3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B3" w:rsidRDefault="00D731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:rsidR="00D731B3" w:rsidRDefault="00D731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B3" w:rsidRDefault="00D731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E84" w:rsidRDefault="00E36E84">
      <w:pPr>
        <w:spacing w:after="0" w:line="240" w:lineRule="auto"/>
      </w:pPr>
      <w:r>
        <w:separator/>
      </w:r>
    </w:p>
  </w:footnote>
  <w:footnote w:type="continuationSeparator" w:id="0">
    <w:p w:rsidR="00E36E84" w:rsidRDefault="00E36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5867"/>
    <w:multiLevelType w:val="multilevel"/>
    <w:tmpl w:val="50E278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zszAzNzMyMLM0MzNU0lEKTi0uzszPAykwrAUAVHiJciwAAAA="/>
  </w:docVars>
  <w:rsids>
    <w:rsidRoot w:val="00D731B3"/>
    <w:rsid w:val="00036E17"/>
    <w:rsid w:val="007068B9"/>
    <w:rsid w:val="00D731B3"/>
    <w:rsid w:val="00E3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34CD"/>
  <w15:docId w15:val="{C280C9A3-20FC-4DD2-A4AE-6144DA5C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4710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4710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4710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3C92"/>
    <w:pPr>
      <w:keepNext/>
      <w:keepLines/>
      <w:spacing w:before="200" w:after="0"/>
      <w:outlineLvl w:val="3"/>
    </w:pPr>
    <w:rPr>
      <w:rFonts w:ascii="Times New Roman" w:eastAsia="Times New Roman" w:hAnsi="Times New Roman" w:cs="Times New Roman"/>
      <w:b/>
      <w:bCs/>
      <w:iCs/>
      <w:sz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274710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74710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4710"/>
    <w:rPr>
      <w:rFonts w:ascii="Times New Roman" w:eastAsia="Times New Roman" w:hAnsi="Times New Roman" w:cs="Times New Roman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13C92"/>
    <w:rPr>
      <w:rFonts w:ascii="Times New Roman" w:eastAsia="Times New Roman" w:hAnsi="Times New Roman" w:cs="Times New Roman"/>
      <w:b/>
      <w:bCs/>
      <w:iCs/>
      <w:sz w:val="24"/>
    </w:rPr>
  </w:style>
  <w:style w:type="paragraph" w:customStyle="1" w:styleId="Nagwek11">
    <w:name w:val="Nagłówek 11"/>
    <w:basedOn w:val="Normalny"/>
    <w:next w:val="Normalny"/>
    <w:uiPriority w:val="9"/>
    <w:qFormat/>
    <w:rsid w:val="00274710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3C92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3C92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E13C92"/>
    <w:pPr>
      <w:keepNext/>
      <w:keepLines/>
      <w:spacing w:before="200" w:after="0"/>
      <w:outlineLvl w:val="3"/>
    </w:pPr>
    <w:rPr>
      <w:rFonts w:ascii="Times New Roman" w:eastAsia="Times New Roman" w:hAnsi="Times New Roman" w:cs="Times New Roman"/>
      <w:b/>
      <w:bCs/>
      <w:iCs/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E13C92"/>
    <w:pPr>
      <w:spacing w:after="100"/>
    </w:pPr>
    <w:rPr>
      <w:rFonts w:ascii="Times New Roman" w:hAnsi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0B3243"/>
    <w:pPr>
      <w:tabs>
        <w:tab w:val="right" w:leader="dot" w:pos="8777"/>
      </w:tabs>
      <w:spacing w:after="100"/>
      <w:ind w:left="220"/>
    </w:pPr>
    <w:rPr>
      <w:rFonts w:ascii="Times New Roman" w:eastAsia="Times New Roman" w:hAnsi="Times New Roman" w:cs="Times New Roman"/>
      <w:b/>
      <w:bC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E13C92"/>
    <w:pPr>
      <w:spacing w:after="100"/>
      <w:ind w:left="440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E1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C92"/>
  </w:style>
  <w:style w:type="paragraph" w:styleId="Stopka">
    <w:name w:val="footer"/>
    <w:basedOn w:val="Normalny"/>
    <w:link w:val="StopkaZnak"/>
    <w:uiPriority w:val="99"/>
    <w:unhideWhenUsed/>
    <w:rsid w:val="00E1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C92"/>
  </w:style>
  <w:style w:type="character" w:customStyle="1" w:styleId="Hipercze1">
    <w:name w:val="Hiperłącze1"/>
    <w:basedOn w:val="Domylnaczcionkaakapitu"/>
    <w:uiPriority w:val="99"/>
    <w:unhideWhenUsed/>
    <w:rsid w:val="00E13C92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E13C92"/>
    <w:rPr>
      <w:color w:val="0000FF" w:themeColor="hyperlink"/>
      <w:u w:val="single"/>
    </w:rPr>
  </w:style>
  <w:style w:type="paragraph" w:customStyle="1" w:styleId="DecimalAligned">
    <w:name w:val="Decimal Aligned"/>
    <w:basedOn w:val="Normalny"/>
    <w:uiPriority w:val="40"/>
    <w:qFormat/>
    <w:rsid w:val="00E13C92"/>
    <w:pPr>
      <w:tabs>
        <w:tab w:val="decimal" w:pos="360"/>
      </w:tabs>
    </w:pPr>
    <w:rPr>
      <w:rFonts w:eastAsia="Times New Roman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E13C92"/>
    <w:pPr>
      <w:spacing w:after="0" w:line="240" w:lineRule="auto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13C92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13C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E13C92"/>
    <w:rPr>
      <w:rFonts w:eastAsia="Times New Roman"/>
      <w:sz w:val="20"/>
      <w:szCs w:val="20"/>
    </w:rPr>
  </w:style>
  <w:style w:type="character" w:customStyle="1" w:styleId="Wyrnieniedelikatne1">
    <w:name w:val="Wyróżnienie delikatne1"/>
    <w:basedOn w:val="Domylnaczcionkaakapitu"/>
    <w:uiPriority w:val="19"/>
    <w:qFormat/>
    <w:rsid w:val="00E13C92"/>
    <w:rPr>
      <w:rFonts w:eastAsia="Times New Roman" w:cs="Times New Roman"/>
      <w:bCs w:val="0"/>
      <w:i/>
      <w:iCs/>
      <w:color w:val="808080"/>
      <w:szCs w:val="22"/>
      <w:lang w:val="pl-PL"/>
    </w:rPr>
  </w:style>
  <w:style w:type="character" w:styleId="Wyrnieniedelikatne">
    <w:name w:val="Subtle Emphasis"/>
    <w:basedOn w:val="Domylnaczcionkaakapitu"/>
    <w:uiPriority w:val="19"/>
    <w:qFormat/>
    <w:rsid w:val="00E13C92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39"/>
    <w:rsid w:val="00E1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C92"/>
    <w:rPr>
      <w:rFonts w:ascii="Tahoma" w:hAnsi="Tahoma" w:cs="Tahoma"/>
      <w:sz w:val="16"/>
      <w:szCs w:val="16"/>
    </w:rPr>
  </w:style>
  <w:style w:type="paragraph" w:customStyle="1" w:styleId="Spisilustracji1">
    <w:name w:val="Spis ilustracji1"/>
    <w:basedOn w:val="Normalny"/>
    <w:next w:val="Normalny"/>
    <w:uiPriority w:val="99"/>
    <w:unhideWhenUsed/>
    <w:rsid w:val="00E13C92"/>
    <w:pPr>
      <w:spacing w:after="0"/>
      <w:ind w:left="440" w:hanging="440"/>
    </w:pPr>
    <w:rPr>
      <w:rFonts w:cs="Times New Roman"/>
      <w:b/>
      <w:bCs/>
      <w:sz w:val="20"/>
      <w:szCs w:val="20"/>
    </w:rPr>
  </w:style>
  <w:style w:type="paragraph" w:customStyle="1" w:styleId="Legenda1">
    <w:name w:val="Legenda1"/>
    <w:basedOn w:val="Normalny"/>
    <w:next w:val="Normalny"/>
    <w:uiPriority w:val="35"/>
    <w:unhideWhenUsed/>
    <w:qFormat/>
    <w:rsid w:val="00E13C92"/>
    <w:pPr>
      <w:spacing w:line="240" w:lineRule="auto"/>
    </w:pPr>
    <w:rPr>
      <w:b/>
      <w:bCs/>
      <w:color w:val="4F81BD"/>
      <w:sz w:val="18"/>
      <w:szCs w:val="18"/>
    </w:rPr>
  </w:style>
  <w:style w:type="paragraph" w:styleId="Akapitzlist">
    <w:name w:val="List Paragraph"/>
    <w:basedOn w:val="Normalny"/>
    <w:uiPriority w:val="34"/>
    <w:qFormat/>
    <w:rsid w:val="00E13C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3C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3C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3C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C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C92"/>
    <w:rPr>
      <w:b/>
      <w:bCs/>
      <w:sz w:val="20"/>
      <w:szCs w:val="20"/>
    </w:rPr>
  </w:style>
  <w:style w:type="character" w:customStyle="1" w:styleId="Nagwek1Znak1">
    <w:name w:val="Nagłówek 1 Znak1"/>
    <w:basedOn w:val="Domylnaczcionkaakapitu"/>
    <w:uiPriority w:val="9"/>
    <w:rsid w:val="00E13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basedOn w:val="Domylnaczcionkaakapitu"/>
    <w:uiPriority w:val="9"/>
    <w:semiHidden/>
    <w:rsid w:val="00E13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edniecieniowanie2akcent5">
    <w:name w:val="Medium Shading 2 Accent 5"/>
    <w:basedOn w:val="Standardowy"/>
    <w:uiPriority w:val="64"/>
    <w:rsid w:val="00E13C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agwek3Znak1">
    <w:name w:val="Nagłówek 3 Znak1"/>
    <w:basedOn w:val="Domylnaczcionkaakapitu"/>
    <w:uiPriority w:val="9"/>
    <w:semiHidden/>
    <w:rsid w:val="00E13C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1">
    <w:name w:val="Nagłówek 4 Znak1"/>
    <w:basedOn w:val="Domylnaczcionkaakapitu"/>
    <w:uiPriority w:val="9"/>
    <w:semiHidden/>
    <w:rsid w:val="00E13C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pisilustracji">
    <w:name w:val="table of figures"/>
    <w:basedOn w:val="Normalny"/>
    <w:next w:val="Normalny"/>
    <w:uiPriority w:val="99"/>
    <w:unhideWhenUsed/>
    <w:rsid w:val="00577F73"/>
    <w:pPr>
      <w:spacing w:after="0"/>
    </w:pPr>
  </w:style>
  <w:style w:type="paragraph" w:styleId="Legenda">
    <w:name w:val="caption"/>
    <w:basedOn w:val="Normalny"/>
    <w:next w:val="Normalny"/>
    <w:uiPriority w:val="35"/>
    <w:unhideWhenUsed/>
    <w:qFormat/>
    <w:rsid w:val="00415E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prawka">
    <w:name w:val="Revision"/>
    <w:hidden/>
    <w:uiPriority w:val="99"/>
    <w:semiHidden/>
    <w:rsid w:val="004A54A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5E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5E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5E9D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01B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UHF9TfM8FbR2yrDEMKOvNnRBFg==">AMUW2mXRFazT50tkr27kWCv0LXW6nRwrSHOvulVFcj8yxKPt1VSLT4LFRfxHy5BSVFPVmYeDIq9A2ft2SaniZ5QjMh5+m42nggTvgk2Sj/IuZgayiWhy6Tqa9p1vAp08Nb2+JcHyfSTWl2odxwsUuTsBmTK5uEAi7WuHNihY+wXtdZAdOt8dASVgTHjpqrgLxG1eJyoCOO/VhM9I9kQyTyZIaV/cVwQ4dYqKUc/tPWX7eIB37GX0fqgzwn76MkPHg8sX7tZRORch3jO0c1XFyR4IKEbMT/efXA+OCJNbbKMU3+D9u+ddrgR23OcadZZFl4dNRTJ6E6aoDjLoXnfLJAtwdcVf+Udo3oGVtWwnx042uDbMUee5ScZt8rZJlz4GrZJdNb6hYLbBg7cxWyro+gah83zL+2CHzoHmD82d2KNGMjlEt9+KpjOuIdR/zTLV6SBlnIqLxN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5657</Words>
  <Characters>33942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Urban</dc:creator>
  <cp:lastModifiedBy>Z30</cp:lastModifiedBy>
  <cp:revision>2</cp:revision>
  <dcterms:created xsi:type="dcterms:W3CDTF">2023-05-04T10:26:00Z</dcterms:created>
  <dcterms:modified xsi:type="dcterms:W3CDTF">2023-05-04T10:26:00Z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269de01d-15e9-3f61-9847-93d4fe91d06b</vt:lpwstr>
  </property>
  <property fmtid="{D5CDD505-2E9C-101B-9397-08002B2CF9AE}" pid="24" name="Mendeley Citation Style_1">
    <vt:lpwstr>http://www.zotero.org/styles/vancouver</vt:lpwstr>
  </property>
</Properties>
</file>